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61" w:rsidRPr="005178C3" w:rsidRDefault="004A5361" w:rsidP="004A5361">
      <w:pPr>
        <w:spacing w:after="200" w:line="276" w:lineRule="auto"/>
        <w:jc w:val="both"/>
        <w:rPr>
          <w:rFonts w:ascii="Times New Roman" w:eastAsia="Calibri" w:hAnsi="Times New Roman" w:cs="Times New Roman"/>
          <w:b/>
          <w:bCs/>
          <w:sz w:val="32"/>
          <w:szCs w:val="32"/>
        </w:rPr>
      </w:pPr>
      <w:r w:rsidRPr="005178C3">
        <w:rPr>
          <w:rFonts w:ascii="Times New Roman" w:eastAsia="Calibri" w:hAnsi="Times New Roman" w:cs="Times New Roman"/>
          <w:b/>
          <w:bCs/>
          <w:sz w:val="32"/>
          <w:szCs w:val="32"/>
        </w:rPr>
        <w:t xml:space="preserve">Informacija apie priimtą sprendimą dėl </w:t>
      </w:r>
      <w:r w:rsidR="002908AF" w:rsidRPr="002908AF">
        <w:rPr>
          <w:rFonts w:ascii="Times New Roman" w:eastAsia="Calibri" w:hAnsi="Times New Roman" w:cs="Times New Roman"/>
          <w:b/>
          <w:bCs/>
          <w:sz w:val="32"/>
          <w:szCs w:val="32"/>
        </w:rPr>
        <w:t xml:space="preserve">Alytaus rajono </w:t>
      </w:r>
      <w:proofErr w:type="spellStart"/>
      <w:r w:rsidR="002908AF" w:rsidRPr="002908AF">
        <w:rPr>
          <w:rFonts w:ascii="Times New Roman" w:eastAsia="Calibri" w:hAnsi="Times New Roman" w:cs="Times New Roman"/>
          <w:b/>
          <w:bCs/>
          <w:sz w:val="32"/>
          <w:szCs w:val="32"/>
        </w:rPr>
        <w:t>Bogušiškių</w:t>
      </w:r>
      <w:proofErr w:type="spellEnd"/>
      <w:r w:rsidR="002908AF" w:rsidRPr="002908AF">
        <w:rPr>
          <w:rFonts w:ascii="Times New Roman" w:eastAsia="Calibri" w:hAnsi="Times New Roman" w:cs="Times New Roman"/>
          <w:b/>
          <w:bCs/>
          <w:sz w:val="32"/>
          <w:szCs w:val="32"/>
        </w:rPr>
        <w:t xml:space="preserve"> II žvyro ir smėlio telkinio naujų plotų naudojimo</w:t>
      </w:r>
      <w:r w:rsidR="002908AF">
        <w:rPr>
          <w:rFonts w:ascii="Times New Roman" w:eastAsia="Calibri" w:hAnsi="Times New Roman" w:cs="Times New Roman"/>
          <w:b/>
          <w:bCs/>
          <w:sz w:val="32"/>
          <w:szCs w:val="32"/>
          <w:lang w:val="en-GB"/>
        </w:rPr>
        <w:t xml:space="preserve"> </w:t>
      </w:r>
      <w:r w:rsidRPr="005178C3">
        <w:rPr>
          <w:rFonts w:ascii="Times New Roman" w:eastAsia="Calibri" w:hAnsi="Times New Roman" w:cs="Times New Roman"/>
          <w:b/>
          <w:bCs/>
          <w:sz w:val="32"/>
          <w:szCs w:val="32"/>
        </w:rPr>
        <w:t xml:space="preserve">leistinumo poveikio aplinkai požiūriu </w:t>
      </w:r>
    </w:p>
    <w:p w:rsidR="004A5361" w:rsidRPr="005C0978" w:rsidRDefault="004A5361" w:rsidP="004A5361">
      <w:pPr>
        <w:pStyle w:val="Default"/>
        <w:jc w:val="both"/>
        <w:rPr>
          <w:rFonts w:ascii="Times New Roman" w:hAnsi="Times New Roman" w:cs="Times New Roman"/>
        </w:rPr>
      </w:pPr>
      <w:r w:rsidRPr="005178C3">
        <w:rPr>
          <w:rFonts w:ascii="Times New Roman" w:eastAsia="Calibri" w:hAnsi="Times New Roman" w:cs="Times New Roman"/>
          <w:b/>
        </w:rPr>
        <w:t xml:space="preserve">           </w:t>
      </w:r>
      <w:r w:rsidRPr="005C0978">
        <w:rPr>
          <w:rFonts w:ascii="Times New Roman" w:eastAsia="Calibri" w:hAnsi="Times New Roman" w:cs="Times New Roman"/>
          <w:b/>
        </w:rPr>
        <w:t>1. Planuojamos ūkinės veiklos užsakovas –</w:t>
      </w:r>
      <w:r w:rsidRPr="005C0978">
        <w:rPr>
          <w:rFonts w:ascii="Times New Roman" w:eastAsia="Calibri" w:hAnsi="Times New Roman" w:cs="Times New Roman"/>
        </w:rPr>
        <w:t xml:space="preserve"> </w:t>
      </w:r>
      <w:r w:rsidR="00825167" w:rsidRPr="005C0978">
        <w:rPr>
          <w:rFonts w:ascii="Times New Roman" w:hAnsi="Times New Roman" w:cs="Times New Roman"/>
          <w:color w:val="auto"/>
          <w:lang w:eastAsia="ar-SA"/>
        </w:rPr>
        <w:t xml:space="preserve">UAB „Alkesta“, Naujoji g. 118, 62175 Alytus, tel. (8 315) 77755, faks. (8 315) 77265, el. p. </w:t>
      </w:r>
      <w:hyperlink r:id="rId5" w:history="1">
        <w:r w:rsidR="00825167" w:rsidRPr="005C0978">
          <w:rPr>
            <w:rFonts w:ascii="Times New Roman" w:hAnsi="Times New Roman" w:cs="Times New Roman"/>
            <w:color w:val="0000FF"/>
            <w:u w:val="single"/>
            <w:lang w:eastAsia="ar-SA"/>
          </w:rPr>
          <w:t>info@alkesta.lt</w:t>
        </w:r>
      </w:hyperlink>
      <w:r w:rsidR="00825167" w:rsidRPr="005C0978">
        <w:rPr>
          <w:rFonts w:ascii="Times New Roman" w:hAnsi="Times New Roman" w:cs="Times New Roman"/>
          <w:color w:val="auto"/>
          <w:lang w:eastAsia="ar-SA"/>
        </w:rPr>
        <w:t>.</w:t>
      </w:r>
    </w:p>
    <w:p w:rsidR="004A5361" w:rsidRPr="005C0978" w:rsidRDefault="004A5361" w:rsidP="004A5361">
      <w:pPr>
        <w:pStyle w:val="Hyperlink1"/>
        <w:spacing w:line="240" w:lineRule="auto"/>
        <w:rPr>
          <w:bCs/>
          <w:iCs/>
          <w:sz w:val="24"/>
          <w:szCs w:val="24"/>
          <w:lang w:val="lt-LT"/>
        </w:rPr>
      </w:pPr>
      <w:r w:rsidRPr="005C0978">
        <w:rPr>
          <w:rFonts w:eastAsia="Calibri"/>
          <w:b/>
          <w:sz w:val="24"/>
          <w:szCs w:val="24"/>
          <w:lang w:val="lt-LT"/>
        </w:rPr>
        <w:t xml:space="preserve">      2. Poveikio aplinkai vertinimo dokumentų rengėjas –</w:t>
      </w:r>
      <w:r w:rsidRPr="005C0978">
        <w:rPr>
          <w:rFonts w:eastAsia="Calibri"/>
          <w:sz w:val="24"/>
          <w:szCs w:val="24"/>
          <w:lang w:val="lt-LT"/>
        </w:rPr>
        <w:t xml:space="preserve"> </w:t>
      </w:r>
      <w:r w:rsidR="00D4177B" w:rsidRPr="005C0978">
        <w:rPr>
          <w:sz w:val="24"/>
          <w:szCs w:val="24"/>
          <w:lang w:val="lt-LT"/>
        </w:rPr>
        <w:t xml:space="preserve">UAB „J. Jonyno </w:t>
      </w:r>
      <w:proofErr w:type="spellStart"/>
      <w:r w:rsidR="00D4177B" w:rsidRPr="005C0978">
        <w:rPr>
          <w:sz w:val="24"/>
          <w:szCs w:val="24"/>
          <w:lang w:val="lt-LT"/>
        </w:rPr>
        <w:t>ecofirma</w:t>
      </w:r>
      <w:proofErr w:type="spellEnd"/>
      <w:r w:rsidR="00D4177B" w:rsidRPr="005C0978">
        <w:rPr>
          <w:sz w:val="24"/>
          <w:szCs w:val="24"/>
          <w:lang w:val="lt-LT"/>
        </w:rPr>
        <w:t>“, Antakalnio g. 42-42, 10304 Vilnius, tel. 8 686 31513, tel./faks. (8 5) 243 7734.</w:t>
      </w:r>
    </w:p>
    <w:p w:rsidR="00D4177B" w:rsidRPr="005C0978" w:rsidRDefault="004A5361" w:rsidP="00D4177B">
      <w:pPr>
        <w:pStyle w:val="Hyperlink1"/>
        <w:spacing w:line="240" w:lineRule="auto"/>
        <w:rPr>
          <w:bCs/>
          <w:sz w:val="24"/>
          <w:szCs w:val="24"/>
          <w:lang w:val="lt-LT"/>
        </w:rPr>
      </w:pPr>
      <w:r w:rsidRPr="005C0978">
        <w:rPr>
          <w:rFonts w:eastAsia="Calibri"/>
          <w:b/>
          <w:sz w:val="24"/>
          <w:szCs w:val="24"/>
          <w:lang w:val="lt-LT"/>
        </w:rPr>
        <w:t xml:space="preserve">      3. Planuojamos ūkinės veiklos pavadinimas –</w:t>
      </w:r>
      <w:r w:rsidRPr="005C0978">
        <w:rPr>
          <w:rFonts w:eastAsia="Calibri"/>
          <w:sz w:val="24"/>
          <w:szCs w:val="24"/>
          <w:lang w:val="lt-LT"/>
        </w:rPr>
        <w:t xml:space="preserve"> </w:t>
      </w:r>
      <w:r w:rsidR="00D4177B" w:rsidRPr="005C0978">
        <w:rPr>
          <w:bCs/>
          <w:sz w:val="24"/>
          <w:szCs w:val="24"/>
          <w:lang w:val="lt-LT"/>
        </w:rPr>
        <w:t xml:space="preserve">Alytaus rajono savivaldybės </w:t>
      </w:r>
      <w:proofErr w:type="spellStart"/>
      <w:r w:rsidR="00D4177B" w:rsidRPr="005C0978">
        <w:rPr>
          <w:bCs/>
          <w:sz w:val="24"/>
          <w:szCs w:val="24"/>
          <w:lang w:val="lt-LT"/>
        </w:rPr>
        <w:t>Bogušiškių</w:t>
      </w:r>
      <w:proofErr w:type="spellEnd"/>
      <w:r w:rsidR="00D4177B" w:rsidRPr="005C0978">
        <w:rPr>
          <w:bCs/>
          <w:sz w:val="24"/>
          <w:szCs w:val="24"/>
          <w:lang w:val="lt-LT"/>
        </w:rPr>
        <w:t xml:space="preserve"> II žvyro ir smėlio telkinio naujų plotų naudojimas.</w:t>
      </w:r>
    </w:p>
    <w:p w:rsidR="00011BFF" w:rsidRPr="00011BFF" w:rsidRDefault="00011BFF" w:rsidP="00011BFF">
      <w:pPr>
        <w:spacing w:before="20" w:after="20" w:line="240" w:lineRule="auto"/>
        <w:ind w:firstLine="680"/>
        <w:jc w:val="both"/>
        <w:rPr>
          <w:rFonts w:ascii="Times New Roman" w:eastAsia="Times New Roman" w:hAnsi="Times New Roman" w:cs="Times New Roman"/>
          <w:color w:val="000000"/>
          <w:sz w:val="24"/>
          <w:szCs w:val="24"/>
          <w:highlight w:val="yellow"/>
          <w:lang w:eastAsia="lt-LT"/>
        </w:rPr>
      </w:pPr>
      <w:r w:rsidRPr="00011BFF">
        <w:rPr>
          <w:rFonts w:ascii="Times New Roman" w:eastAsia="Times New Roman" w:hAnsi="Times New Roman" w:cs="Times New Roman"/>
          <w:color w:val="000000"/>
          <w:sz w:val="24"/>
          <w:szCs w:val="24"/>
          <w:lang w:eastAsia="lt-LT"/>
        </w:rPr>
        <w:t>Planuojama ūkinė veikla (toliau – PŪV) atitinka Lietuvos Respublikos planuojamos ūkinės veiklos poveikio aplinkai vertinimo įstatymo (toliau – PAV įstatymas) 1 priedo 2.4 papunktyje nurodytą veiklą – kitų naudingųjų iškasenų kasyba ar akmens skaldymas (kai kasybos plotas –25 ha ir didesnis), kuriai vadovaujantis PAV įstatymo 3 straipsnio 2 dalies 1 punktu turi būti atliktas poveikio aplinkai vertinimas (toliau – PAV).</w:t>
      </w:r>
    </w:p>
    <w:p w:rsidR="004A5361" w:rsidRPr="005C0978" w:rsidRDefault="004A5361" w:rsidP="004A5361">
      <w:pPr>
        <w:spacing w:after="0" w:line="240" w:lineRule="auto"/>
        <w:ind w:firstLine="709"/>
        <w:jc w:val="both"/>
        <w:rPr>
          <w:rFonts w:ascii="Times New Roman" w:eastAsia="Times New Roman" w:hAnsi="Times New Roman" w:cs="Times New Roman"/>
          <w:b/>
          <w:sz w:val="24"/>
          <w:szCs w:val="24"/>
          <w:lang w:eastAsia="lt-LT"/>
        </w:rPr>
      </w:pPr>
      <w:r w:rsidRPr="005C0978">
        <w:rPr>
          <w:rFonts w:ascii="Times New Roman" w:eastAsia="Times New Roman" w:hAnsi="Times New Roman" w:cs="Times New Roman"/>
          <w:b/>
          <w:sz w:val="24"/>
          <w:szCs w:val="24"/>
          <w:lang w:eastAsia="lt-LT"/>
        </w:rPr>
        <w:t>4. Planuojamos ūkinės veiklos vieta</w:t>
      </w:r>
    </w:p>
    <w:p w:rsidR="006A0555" w:rsidRPr="006A0555" w:rsidRDefault="006A0555" w:rsidP="006A05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lt-LT"/>
        </w:rPr>
      </w:pPr>
      <w:r w:rsidRPr="006A0555">
        <w:rPr>
          <w:rFonts w:ascii="Times New Roman" w:eastAsia="Times New Roman" w:hAnsi="Times New Roman" w:cs="Times New Roman"/>
          <w:bCs/>
          <w:sz w:val="24"/>
          <w:szCs w:val="24"/>
          <w:lang w:eastAsia="lt-LT"/>
        </w:rPr>
        <w:t xml:space="preserve">Alytaus apskr., Alytaus r. sav., Daugų sen., </w:t>
      </w:r>
      <w:proofErr w:type="spellStart"/>
      <w:r w:rsidRPr="006A0555">
        <w:rPr>
          <w:rFonts w:ascii="Times New Roman" w:eastAsia="Times New Roman" w:hAnsi="Times New Roman" w:cs="Times New Roman"/>
          <w:bCs/>
          <w:sz w:val="24"/>
          <w:szCs w:val="24"/>
          <w:lang w:eastAsia="lt-LT"/>
        </w:rPr>
        <w:t>Šiukščiakalnio</w:t>
      </w:r>
      <w:proofErr w:type="spellEnd"/>
      <w:r w:rsidRPr="006A0555">
        <w:rPr>
          <w:rFonts w:ascii="Times New Roman" w:eastAsia="Times New Roman" w:hAnsi="Times New Roman" w:cs="Times New Roman"/>
          <w:bCs/>
          <w:sz w:val="24"/>
          <w:szCs w:val="24"/>
          <w:lang w:eastAsia="lt-LT"/>
        </w:rPr>
        <w:t xml:space="preserve"> k., žemės sklypų kad. Nr. 3355/0002:349, 3355/0002:350, 3355/0002:163, 3355/0002:87, 3355/0002:219.</w:t>
      </w:r>
    </w:p>
    <w:p w:rsidR="004A5361" w:rsidRPr="005C0978" w:rsidRDefault="004A5361" w:rsidP="004A5361">
      <w:pPr>
        <w:autoSpaceDE w:val="0"/>
        <w:autoSpaceDN w:val="0"/>
        <w:adjustRightInd w:val="0"/>
        <w:spacing w:after="0" w:line="240" w:lineRule="auto"/>
        <w:ind w:firstLine="709"/>
        <w:jc w:val="both"/>
        <w:rPr>
          <w:rFonts w:ascii="Times New Roman" w:eastAsia="Calibri" w:hAnsi="Times New Roman" w:cs="Times New Roman"/>
          <w:b/>
          <w:spacing w:val="-2"/>
          <w:sz w:val="24"/>
          <w:szCs w:val="24"/>
        </w:rPr>
      </w:pPr>
      <w:r w:rsidRPr="005C0978">
        <w:rPr>
          <w:rFonts w:ascii="Times New Roman" w:eastAsia="Calibri" w:hAnsi="Times New Roman" w:cs="Times New Roman"/>
          <w:b/>
          <w:spacing w:val="-2"/>
          <w:sz w:val="24"/>
          <w:szCs w:val="24"/>
        </w:rPr>
        <w:t>5. Planuojamos ūkinės veiklos (toliau - PŪV) aprašymas</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 xml:space="preserve">Planuojama vykdyti smėlio ir žvyro išteklių gavybą dvejuose detaliai išžvalgytuose </w:t>
      </w:r>
      <w:proofErr w:type="spellStart"/>
      <w:r w:rsidRPr="006549AE">
        <w:rPr>
          <w:rFonts w:ascii="Times New Roman" w:eastAsia="Times New Roman" w:hAnsi="Times New Roman" w:cs="Times New Roman"/>
          <w:color w:val="000000"/>
          <w:spacing w:val="-2"/>
          <w:sz w:val="24"/>
          <w:szCs w:val="24"/>
          <w:lang w:eastAsia="lt-LT"/>
        </w:rPr>
        <w:t>Bogušiškių</w:t>
      </w:r>
      <w:proofErr w:type="spellEnd"/>
      <w:r w:rsidRPr="006549AE">
        <w:rPr>
          <w:rFonts w:ascii="Times New Roman" w:eastAsia="Times New Roman" w:hAnsi="Times New Roman" w:cs="Times New Roman"/>
          <w:color w:val="000000"/>
          <w:spacing w:val="-2"/>
          <w:sz w:val="24"/>
          <w:szCs w:val="24"/>
          <w:lang w:eastAsia="lt-LT"/>
        </w:rPr>
        <w:t xml:space="preserve"> II telkinio plotuose, betarpiškai prisišliejusiuose prie šiuo metu naudojamo to paties telkinio (PŪV užsakovas ūkinę veiklą vykdo žemės sklypuose, kurių kad. Nr. 3355/0002:87 ir Nr. 3355/00002:219). Detaliai išžvalgytų </w:t>
      </w:r>
      <w:proofErr w:type="spellStart"/>
      <w:r w:rsidRPr="006549AE">
        <w:rPr>
          <w:rFonts w:ascii="Times New Roman" w:eastAsia="Times New Roman" w:hAnsi="Times New Roman" w:cs="Times New Roman"/>
          <w:color w:val="000000"/>
          <w:spacing w:val="-2"/>
          <w:sz w:val="24"/>
          <w:szCs w:val="24"/>
          <w:lang w:eastAsia="lt-LT"/>
        </w:rPr>
        <w:t>Bogušiškių</w:t>
      </w:r>
      <w:proofErr w:type="spellEnd"/>
      <w:r w:rsidRPr="006549AE">
        <w:rPr>
          <w:rFonts w:ascii="Times New Roman" w:eastAsia="Times New Roman" w:hAnsi="Times New Roman" w:cs="Times New Roman"/>
          <w:color w:val="000000"/>
          <w:spacing w:val="-2"/>
          <w:sz w:val="24"/>
          <w:szCs w:val="24"/>
          <w:lang w:eastAsia="lt-LT"/>
        </w:rPr>
        <w:t xml:space="preserve"> smėlio ir žvyro telkinio naujų plotų išteklių kiekis bendrame 33,56 ha plote sudaro apie 4922 tūkst. 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 xml:space="preserve">Žemės sklype, kurio kad. Nr. 3355/0002:163, šiaurės vakaruose esantį miško plotą (III grupė, laukų apsauginiai miškai) ir žemės sklype, kurio kad. Nr. 3355/0002:349, šalia kelio </w:t>
      </w:r>
      <w:proofErr w:type="spellStart"/>
      <w:r w:rsidRPr="006549AE">
        <w:rPr>
          <w:rFonts w:ascii="Times New Roman" w:eastAsia="Times New Roman" w:hAnsi="Times New Roman" w:cs="Times New Roman"/>
          <w:color w:val="000000"/>
          <w:spacing w:val="-2"/>
          <w:sz w:val="24"/>
          <w:szCs w:val="24"/>
          <w:lang w:eastAsia="lt-LT"/>
        </w:rPr>
        <w:t>Rimėnai-Pocelonys</w:t>
      </w:r>
      <w:proofErr w:type="spellEnd"/>
      <w:r w:rsidRPr="006549AE">
        <w:rPr>
          <w:rFonts w:ascii="Times New Roman" w:eastAsia="Times New Roman" w:hAnsi="Times New Roman" w:cs="Times New Roman"/>
          <w:color w:val="000000"/>
          <w:spacing w:val="-2"/>
          <w:sz w:val="24"/>
          <w:szCs w:val="24"/>
          <w:lang w:eastAsia="lt-LT"/>
        </w:rPr>
        <w:t xml:space="preserve"> esantį miško plotą (IV grupė, ūkiniai miškai) planuojama išsaugoti ir naudingųjų iškasenų gavybos po jais nevykdyti. Žemės sklype, kurio kad. Nr. 3355/0002:163, šiaurės rytuose esantį 0,88 ha miško plotą (</w:t>
      </w:r>
      <w:proofErr w:type="spellStart"/>
      <w:r w:rsidRPr="006549AE">
        <w:rPr>
          <w:rFonts w:ascii="Times New Roman" w:eastAsia="Times New Roman" w:hAnsi="Times New Roman" w:cs="Times New Roman"/>
          <w:color w:val="000000"/>
          <w:spacing w:val="-2"/>
          <w:sz w:val="24"/>
          <w:szCs w:val="24"/>
          <w:lang w:eastAsia="lt-LT"/>
        </w:rPr>
        <w:t>Dušnonių</w:t>
      </w:r>
      <w:proofErr w:type="spellEnd"/>
      <w:r w:rsidRPr="006549AE">
        <w:rPr>
          <w:rFonts w:ascii="Times New Roman" w:eastAsia="Times New Roman" w:hAnsi="Times New Roman" w:cs="Times New Roman"/>
          <w:color w:val="000000"/>
          <w:spacing w:val="-2"/>
          <w:sz w:val="24"/>
          <w:szCs w:val="24"/>
          <w:lang w:eastAsia="lt-LT"/>
        </w:rPr>
        <w:t xml:space="preserve"> girininkijos 479 kvartalo 5 </w:t>
      </w:r>
      <w:proofErr w:type="spellStart"/>
      <w:r w:rsidRPr="006549AE">
        <w:rPr>
          <w:rFonts w:ascii="Times New Roman" w:eastAsia="Times New Roman" w:hAnsi="Times New Roman" w:cs="Times New Roman"/>
          <w:color w:val="000000"/>
          <w:spacing w:val="-2"/>
          <w:sz w:val="24"/>
          <w:szCs w:val="24"/>
          <w:lang w:eastAsia="lt-LT"/>
        </w:rPr>
        <w:t>taksacinis</w:t>
      </w:r>
      <w:proofErr w:type="spellEnd"/>
      <w:r w:rsidRPr="006549AE">
        <w:rPr>
          <w:rFonts w:ascii="Times New Roman" w:eastAsia="Times New Roman" w:hAnsi="Times New Roman" w:cs="Times New Roman"/>
          <w:color w:val="000000"/>
          <w:spacing w:val="-2"/>
          <w:sz w:val="24"/>
          <w:szCs w:val="24"/>
          <w:lang w:eastAsia="lt-LT"/>
        </w:rPr>
        <w:t xml:space="preserve"> miško sklypas; IV grupė, ūkiniai miškai) numatoma paversti kitomis naudmenomis, jį iškirsti ir šioje vietoje vykdyti naudingųjų iškasenų gavybą.</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 xml:space="preserve">Planuojamas naudoti telkinio plotas (be laukų apsauginio miško bei pagal kelią </w:t>
      </w:r>
      <w:proofErr w:type="spellStart"/>
      <w:r w:rsidRPr="006549AE">
        <w:rPr>
          <w:rFonts w:ascii="Times New Roman" w:eastAsia="Times New Roman" w:hAnsi="Times New Roman" w:cs="Times New Roman"/>
          <w:color w:val="000000"/>
          <w:spacing w:val="-2"/>
          <w:sz w:val="24"/>
          <w:szCs w:val="24"/>
          <w:lang w:eastAsia="lt-LT"/>
        </w:rPr>
        <w:t>Rimėnai</w:t>
      </w:r>
      <w:proofErr w:type="spellEnd"/>
      <w:r w:rsidRPr="006549AE">
        <w:rPr>
          <w:rFonts w:ascii="Times New Roman" w:eastAsia="Times New Roman" w:hAnsi="Times New Roman" w:cs="Times New Roman"/>
          <w:color w:val="000000"/>
          <w:spacing w:val="-2"/>
          <w:sz w:val="24"/>
          <w:szCs w:val="24"/>
          <w:lang w:eastAsia="lt-LT"/>
        </w:rPr>
        <w:t xml:space="preserve"> - </w:t>
      </w:r>
      <w:proofErr w:type="spellStart"/>
      <w:r w:rsidRPr="006549AE">
        <w:rPr>
          <w:rFonts w:ascii="Times New Roman" w:eastAsia="Times New Roman" w:hAnsi="Times New Roman" w:cs="Times New Roman"/>
          <w:color w:val="000000"/>
          <w:spacing w:val="-2"/>
          <w:sz w:val="24"/>
          <w:szCs w:val="24"/>
          <w:lang w:eastAsia="lt-LT"/>
        </w:rPr>
        <w:t>Pocelonys</w:t>
      </w:r>
      <w:proofErr w:type="spellEnd"/>
      <w:r w:rsidRPr="006549AE">
        <w:rPr>
          <w:rFonts w:ascii="Times New Roman" w:eastAsia="Times New Roman" w:hAnsi="Times New Roman" w:cs="Times New Roman"/>
          <w:color w:val="000000"/>
          <w:spacing w:val="-2"/>
          <w:sz w:val="24"/>
          <w:szCs w:val="24"/>
          <w:lang w:eastAsia="lt-LT"/>
        </w:rPr>
        <w:t xml:space="preserve"> esančio ūkinės reikšmės miško užimamo ploto) – 32,38 ha: šiaurės vakariniame detaliai išžvalgytame plote – 4,9 ha, išteklių kiekis 649 tūkst. 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žvyro ir smėlio, iš jų 147 tūkst. 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w:t>
      </w:r>
      <w:proofErr w:type="spellStart"/>
      <w:r w:rsidRPr="006549AE">
        <w:rPr>
          <w:rFonts w:ascii="Times New Roman" w:eastAsia="Times New Roman" w:hAnsi="Times New Roman" w:cs="Times New Roman"/>
          <w:color w:val="000000"/>
          <w:spacing w:val="-2"/>
          <w:sz w:val="24"/>
          <w:szCs w:val="24"/>
          <w:lang w:eastAsia="lt-LT"/>
        </w:rPr>
        <w:t>apvandeninti</w:t>
      </w:r>
      <w:proofErr w:type="spellEnd"/>
      <w:r w:rsidRPr="006549AE">
        <w:rPr>
          <w:rFonts w:ascii="Times New Roman" w:eastAsia="Times New Roman" w:hAnsi="Times New Roman" w:cs="Times New Roman"/>
          <w:color w:val="000000"/>
          <w:spacing w:val="-2"/>
          <w:sz w:val="24"/>
          <w:szCs w:val="24"/>
          <w:lang w:eastAsia="lt-LT"/>
        </w:rPr>
        <w:t>; o pietrytiniame detaliai išžvalgytame sklype 27,48 ha plote, išteklių kiekis 4101 tūkst. 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iš jų 1569 tūkst. 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w:t>
      </w:r>
      <w:proofErr w:type="spellStart"/>
      <w:r w:rsidRPr="006549AE">
        <w:rPr>
          <w:rFonts w:ascii="Times New Roman" w:eastAsia="Times New Roman" w:hAnsi="Times New Roman" w:cs="Times New Roman"/>
          <w:color w:val="000000"/>
          <w:spacing w:val="-2"/>
          <w:sz w:val="24"/>
          <w:szCs w:val="24"/>
          <w:lang w:eastAsia="lt-LT"/>
        </w:rPr>
        <w:t>apvandeninti</w:t>
      </w:r>
      <w:proofErr w:type="spellEnd"/>
      <w:r w:rsidRPr="006549AE">
        <w:rPr>
          <w:rFonts w:ascii="Times New Roman" w:eastAsia="Times New Roman" w:hAnsi="Times New Roman" w:cs="Times New Roman"/>
          <w:color w:val="000000"/>
          <w:spacing w:val="-2"/>
          <w:sz w:val="24"/>
          <w:szCs w:val="24"/>
          <w:lang w:eastAsia="lt-LT"/>
        </w:rPr>
        <w:t>. Bendras išteklių kiekis planuojamame naudoti plote – 4750 tūkst. 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iš jų </w:t>
      </w:r>
      <w:proofErr w:type="spellStart"/>
      <w:r w:rsidRPr="006549AE">
        <w:rPr>
          <w:rFonts w:ascii="Times New Roman" w:eastAsia="Times New Roman" w:hAnsi="Times New Roman" w:cs="Times New Roman"/>
          <w:color w:val="000000"/>
          <w:spacing w:val="-2"/>
          <w:sz w:val="24"/>
          <w:szCs w:val="24"/>
          <w:lang w:eastAsia="lt-LT"/>
        </w:rPr>
        <w:t>apvandeninti</w:t>
      </w:r>
      <w:proofErr w:type="spellEnd"/>
      <w:r w:rsidRPr="006549AE">
        <w:rPr>
          <w:rFonts w:ascii="Times New Roman" w:eastAsia="Times New Roman" w:hAnsi="Times New Roman" w:cs="Times New Roman"/>
          <w:color w:val="000000"/>
          <w:spacing w:val="-2"/>
          <w:sz w:val="24"/>
          <w:szCs w:val="24"/>
          <w:lang w:eastAsia="lt-LT"/>
        </w:rPr>
        <w:t xml:space="preserve"> 1716 tūkst. 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PŪV teritorijos ribos, apibrėžtos šiomis LKS 94 koordinatėmis:</w:t>
      </w:r>
    </w:p>
    <w:tbl>
      <w:tblPr>
        <w:tblStyle w:val="Lentelstinklelis"/>
        <w:tblW w:w="9526" w:type="dxa"/>
        <w:tblLook w:val="04A0" w:firstRow="1" w:lastRow="0" w:firstColumn="1" w:lastColumn="0" w:noHBand="0" w:noVBand="1"/>
      </w:tblPr>
      <w:tblGrid>
        <w:gridCol w:w="578"/>
        <w:gridCol w:w="1342"/>
        <w:gridCol w:w="1244"/>
        <w:gridCol w:w="579"/>
        <w:gridCol w:w="1342"/>
        <w:gridCol w:w="1244"/>
        <w:gridCol w:w="579"/>
        <w:gridCol w:w="1342"/>
        <w:gridCol w:w="1276"/>
      </w:tblGrid>
      <w:tr w:rsidR="006549AE" w:rsidRPr="006549AE" w:rsidTr="00A20A12">
        <w:tc>
          <w:tcPr>
            <w:tcW w:w="66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Nr.</w:t>
            </w:r>
          </w:p>
        </w:tc>
        <w:tc>
          <w:tcPr>
            <w:tcW w:w="1280"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x</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y</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Nr.</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x</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y</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Nr.</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x</w:t>
            </w:r>
          </w:p>
        </w:tc>
        <w:tc>
          <w:tcPr>
            <w:tcW w:w="1302"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y</w:t>
            </w:r>
          </w:p>
        </w:tc>
      </w:tr>
      <w:tr w:rsidR="006549AE" w:rsidRPr="006549AE" w:rsidTr="00A20A12">
        <w:tc>
          <w:tcPr>
            <w:tcW w:w="66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w:t>
            </w:r>
          </w:p>
        </w:tc>
        <w:tc>
          <w:tcPr>
            <w:tcW w:w="1280"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6020995.5394</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518851.9752</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10</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6020884.7962</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518723.5609</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19</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6021354.5876</w:t>
            </w:r>
          </w:p>
        </w:tc>
        <w:tc>
          <w:tcPr>
            <w:tcW w:w="1302"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519298.4298</w:t>
            </w:r>
          </w:p>
        </w:tc>
      </w:tr>
      <w:tr w:rsidR="006549AE" w:rsidRPr="006549AE" w:rsidTr="00A20A12">
        <w:tc>
          <w:tcPr>
            <w:tcW w:w="66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2</w:t>
            </w:r>
          </w:p>
        </w:tc>
        <w:tc>
          <w:tcPr>
            <w:tcW w:w="1280"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6021022.5088</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519043.5547</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11</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6020959.6864</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518838.4323</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20</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6021361.8577</w:t>
            </w:r>
          </w:p>
        </w:tc>
        <w:tc>
          <w:tcPr>
            <w:tcW w:w="1302"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519320.6705</w:t>
            </w:r>
          </w:p>
        </w:tc>
      </w:tr>
      <w:tr w:rsidR="006549AE" w:rsidRPr="006549AE" w:rsidTr="00A20A12">
        <w:tc>
          <w:tcPr>
            <w:tcW w:w="66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3</w:t>
            </w:r>
          </w:p>
        </w:tc>
        <w:tc>
          <w:tcPr>
            <w:tcW w:w="1280"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6021085.0386</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519226.0882</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12</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6020893.8822</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518890.5072</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21</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6021323.7681</w:t>
            </w:r>
          </w:p>
        </w:tc>
        <w:tc>
          <w:tcPr>
            <w:tcW w:w="1302"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519375.0116</w:t>
            </w:r>
          </w:p>
        </w:tc>
      </w:tr>
      <w:tr w:rsidR="006549AE" w:rsidRPr="006549AE" w:rsidTr="00A20A12">
        <w:tc>
          <w:tcPr>
            <w:tcW w:w="66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4</w:t>
            </w:r>
          </w:p>
        </w:tc>
        <w:tc>
          <w:tcPr>
            <w:tcW w:w="1280"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6020687.6800</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519347.1284</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13</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6020912.6100</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518911.2800</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22</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6021309.8926</w:t>
            </w:r>
          </w:p>
        </w:tc>
        <w:tc>
          <w:tcPr>
            <w:tcW w:w="1302"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519371.8866</w:t>
            </w:r>
          </w:p>
        </w:tc>
      </w:tr>
      <w:tr w:rsidR="006549AE" w:rsidRPr="006549AE" w:rsidTr="00A20A12">
        <w:tc>
          <w:tcPr>
            <w:tcW w:w="66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w:t>
            </w:r>
          </w:p>
        </w:tc>
        <w:tc>
          <w:tcPr>
            <w:tcW w:w="1280"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6020688.4200</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519349.3058</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14</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6020970.9447</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518844.6192</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23</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6021191.5333</w:t>
            </w:r>
          </w:p>
        </w:tc>
        <w:tc>
          <w:tcPr>
            <w:tcW w:w="1302"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519446.1413</w:t>
            </w:r>
          </w:p>
        </w:tc>
      </w:tr>
      <w:tr w:rsidR="006549AE" w:rsidRPr="006549AE" w:rsidTr="00A20A12">
        <w:tc>
          <w:tcPr>
            <w:tcW w:w="66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w:t>
            </w:r>
          </w:p>
        </w:tc>
        <w:tc>
          <w:tcPr>
            <w:tcW w:w="1280"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6020676.2408</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519352.6399</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15</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6021093.2686</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519252.5297</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24</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6021181.9363</w:t>
            </w:r>
          </w:p>
        </w:tc>
        <w:tc>
          <w:tcPr>
            <w:tcW w:w="1302"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519460.6895</w:t>
            </w:r>
          </w:p>
        </w:tc>
      </w:tr>
      <w:tr w:rsidR="006549AE" w:rsidRPr="006549AE" w:rsidTr="00A20A12">
        <w:tc>
          <w:tcPr>
            <w:tcW w:w="66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7</w:t>
            </w:r>
          </w:p>
        </w:tc>
        <w:tc>
          <w:tcPr>
            <w:tcW w:w="1280"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6020433.9613</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518682.7117</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16</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6021312.6578</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519157.9639</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25</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6021162.1400</w:t>
            </w:r>
          </w:p>
        </w:tc>
        <w:tc>
          <w:tcPr>
            <w:tcW w:w="1302"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519466.9900</w:t>
            </w:r>
          </w:p>
        </w:tc>
      </w:tr>
      <w:tr w:rsidR="006549AE" w:rsidRPr="006549AE" w:rsidTr="00A20A12">
        <w:tc>
          <w:tcPr>
            <w:tcW w:w="66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8</w:t>
            </w:r>
          </w:p>
        </w:tc>
        <w:tc>
          <w:tcPr>
            <w:tcW w:w="1280"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6020669.5078</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518679.3176</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17</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6021345.4300</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519266.3932</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26</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6021157.9584</w:t>
            </w:r>
          </w:p>
        </w:tc>
        <w:tc>
          <w:tcPr>
            <w:tcW w:w="1302"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519470.2305</w:t>
            </w:r>
          </w:p>
        </w:tc>
      </w:tr>
      <w:tr w:rsidR="006549AE" w:rsidRPr="006549AE" w:rsidTr="00A20A12">
        <w:tc>
          <w:tcPr>
            <w:tcW w:w="66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9</w:t>
            </w:r>
          </w:p>
        </w:tc>
        <w:tc>
          <w:tcPr>
            <w:tcW w:w="1280"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6020877.6535</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518713.0262</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18</w:t>
            </w: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6021342.5400</w:t>
            </w:r>
          </w:p>
        </w:tc>
        <w:tc>
          <w:tcPr>
            <w:tcW w:w="1188" w:type="dxa"/>
          </w:tcPr>
          <w:p w:rsidR="006549AE" w:rsidRPr="006549AE" w:rsidRDefault="006549AE" w:rsidP="006549AE">
            <w:pPr>
              <w:suppressAutoHyphens/>
              <w:autoSpaceDE w:val="0"/>
              <w:autoSpaceDN w:val="0"/>
              <w:adjustRightInd w:val="0"/>
              <w:jc w:val="center"/>
              <w:textAlignment w:val="center"/>
              <w:rPr>
                <w:color w:val="000000"/>
                <w:spacing w:val="-2"/>
              </w:rPr>
            </w:pPr>
            <w:r w:rsidRPr="006549AE">
              <w:rPr>
                <w:color w:val="000000"/>
                <w:spacing w:val="-2"/>
              </w:rPr>
              <w:t>519271.9500</w:t>
            </w:r>
          </w:p>
        </w:tc>
        <w:tc>
          <w:tcPr>
            <w:tcW w:w="669" w:type="dxa"/>
          </w:tcPr>
          <w:p w:rsidR="006549AE" w:rsidRPr="006549AE" w:rsidRDefault="006549AE" w:rsidP="006549AE">
            <w:pPr>
              <w:suppressAutoHyphens/>
              <w:autoSpaceDE w:val="0"/>
              <w:autoSpaceDN w:val="0"/>
              <w:adjustRightInd w:val="0"/>
              <w:jc w:val="center"/>
              <w:textAlignment w:val="center"/>
              <w:rPr>
                <w:color w:val="000000"/>
                <w:spacing w:val="-2"/>
              </w:rPr>
            </w:pPr>
          </w:p>
        </w:tc>
        <w:tc>
          <w:tcPr>
            <w:tcW w:w="1281" w:type="dxa"/>
          </w:tcPr>
          <w:p w:rsidR="006549AE" w:rsidRPr="006549AE" w:rsidRDefault="006549AE" w:rsidP="006549AE">
            <w:pPr>
              <w:suppressAutoHyphens/>
              <w:autoSpaceDE w:val="0"/>
              <w:autoSpaceDN w:val="0"/>
              <w:adjustRightInd w:val="0"/>
              <w:jc w:val="center"/>
              <w:textAlignment w:val="center"/>
              <w:rPr>
                <w:color w:val="000000"/>
                <w:spacing w:val="-2"/>
              </w:rPr>
            </w:pPr>
          </w:p>
        </w:tc>
        <w:tc>
          <w:tcPr>
            <w:tcW w:w="1302" w:type="dxa"/>
          </w:tcPr>
          <w:p w:rsidR="006549AE" w:rsidRPr="006549AE" w:rsidRDefault="006549AE" w:rsidP="006549AE">
            <w:pPr>
              <w:suppressAutoHyphens/>
              <w:autoSpaceDE w:val="0"/>
              <w:autoSpaceDN w:val="0"/>
              <w:adjustRightInd w:val="0"/>
              <w:jc w:val="center"/>
              <w:textAlignment w:val="center"/>
              <w:rPr>
                <w:color w:val="000000"/>
                <w:spacing w:val="-2"/>
              </w:rPr>
            </w:pPr>
          </w:p>
        </w:tc>
      </w:tr>
    </w:tbl>
    <w:p w:rsidR="006549AE" w:rsidRPr="006549AE" w:rsidRDefault="006549AE" w:rsidP="006549AE">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lt-LT"/>
        </w:rPr>
      </w:pP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6549AE">
        <w:rPr>
          <w:rFonts w:ascii="Times New Roman" w:eastAsia="Times New Roman" w:hAnsi="Times New Roman" w:cs="Times New Roman"/>
          <w:b/>
          <w:i/>
          <w:color w:val="000000"/>
          <w:spacing w:val="-2"/>
          <w:sz w:val="24"/>
          <w:szCs w:val="24"/>
          <w:lang w:eastAsia="lt-LT"/>
        </w:rPr>
        <w:t>Informacija apie PŪV gretimybes</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549AE">
        <w:rPr>
          <w:rFonts w:ascii="Times New Roman" w:eastAsia="Times New Roman" w:hAnsi="Times New Roman" w:cs="Times New Roman"/>
          <w:color w:val="000000"/>
          <w:sz w:val="24"/>
          <w:szCs w:val="24"/>
          <w:lang w:eastAsia="lt-LT"/>
        </w:rPr>
        <w:lastRenderedPageBreak/>
        <w:t xml:space="preserve">Pagal PAV ataskaitoje pateiktą informaciją artimiausia gyvenamoji aplinka nuo PŪV vietos nutolusi apie 0,26 km į šiaurę. </w:t>
      </w:r>
      <w:proofErr w:type="spellStart"/>
      <w:r w:rsidRPr="006549AE">
        <w:rPr>
          <w:rFonts w:ascii="Times New Roman" w:eastAsia="Times New Roman" w:hAnsi="Times New Roman" w:cs="Times New Roman"/>
          <w:color w:val="000000"/>
          <w:sz w:val="24"/>
          <w:szCs w:val="24"/>
          <w:lang w:eastAsia="lt-LT"/>
        </w:rPr>
        <w:t>Bogušiškių</w:t>
      </w:r>
      <w:proofErr w:type="spellEnd"/>
      <w:r w:rsidRPr="006549AE">
        <w:rPr>
          <w:rFonts w:ascii="Times New Roman" w:eastAsia="Times New Roman" w:hAnsi="Times New Roman" w:cs="Times New Roman"/>
          <w:color w:val="000000"/>
          <w:sz w:val="24"/>
          <w:szCs w:val="24"/>
          <w:lang w:eastAsia="lt-LT"/>
        </w:rPr>
        <w:t xml:space="preserve"> II žvyro ir smėlio telkinio nauji plotai yra apie 18,0 – 18,2 km atstumu į pietryčius nuo Alytaus rotušės ir apie 4,9 km atstumu į pietvakarius nuo Daugų bažnyčios.</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549AE">
        <w:rPr>
          <w:rFonts w:ascii="Times New Roman" w:eastAsia="Times New Roman" w:hAnsi="Times New Roman" w:cs="Times New Roman"/>
          <w:color w:val="000000"/>
          <w:sz w:val="24"/>
          <w:szCs w:val="24"/>
          <w:lang w:eastAsia="lt-LT"/>
        </w:rPr>
        <w:t xml:space="preserve">Leidimai naudoti </w:t>
      </w:r>
      <w:proofErr w:type="spellStart"/>
      <w:r w:rsidRPr="006549AE">
        <w:rPr>
          <w:rFonts w:ascii="Times New Roman" w:eastAsia="Times New Roman" w:hAnsi="Times New Roman" w:cs="Times New Roman"/>
          <w:color w:val="000000"/>
          <w:sz w:val="24"/>
          <w:szCs w:val="24"/>
          <w:lang w:eastAsia="lt-LT"/>
        </w:rPr>
        <w:t>Bogušiškių</w:t>
      </w:r>
      <w:proofErr w:type="spellEnd"/>
      <w:r w:rsidRPr="006549AE">
        <w:rPr>
          <w:rFonts w:ascii="Times New Roman" w:eastAsia="Times New Roman" w:hAnsi="Times New Roman" w:cs="Times New Roman"/>
          <w:color w:val="000000"/>
          <w:sz w:val="24"/>
          <w:szCs w:val="24"/>
          <w:lang w:eastAsia="lt-LT"/>
        </w:rPr>
        <w:t xml:space="preserve"> II žvyro ir smėlio telkinio išteklius yra išduoti šioms įmonėms: UAB „Alkesta“, UAB „Skirnuva“, UAB „Varčios karjeras“. Taip pat Aplinkos apsaugos agentūra 2016-01-18 raštu Nr. (28.4)-A4-454 priėmė atrankos išvadą dėl UAB „</w:t>
      </w:r>
      <w:proofErr w:type="spellStart"/>
      <w:r w:rsidRPr="006549AE">
        <w:rPr>
          <w:rFonts w:ascii="Times New Roman" w:eastAsia="Times New Roman" w:hAnsi="Times New Roman" w:cs="Times New Roman"/>
          <w:color w:val="000000"/>
          <w:sz w:val="24"/>
          <w:szCs w:val="24"/>
          <w:lang w:eastAsia="lt-LT"/>
        </w:rPr>
        <w:t>Eurotransa</w:t>
      </w:r>
      <w:proofErr w:type="spellEnd"/>
      <w:r w:rsidRPr="006549AE">
        <w:rPr>
          <w:rFonts w:ascii="Times New Roman" w:eastAsia="Times New Roman" w:hAnsi="Times New Roman" w:cs="Times New Roman"/>
          <w:color w:val="000000"/>
          <w:sz w:val="24"/>
          <w:szCs w:val="24"/>
          <w:lang w:eastAsia="lt-LT"/>
        </w:rPr>
        <w:t xml:space="preserve">“ planuojamos ūkinės veiklos – </w:t>
      </w:r>
      <w:proofErr w:type="spellStart"/>
      <w:r w:rsidRPr="006549AE">
        <w:rPr>
          <w:rFonts w:ascii="Times New Roman" w:eastAsia="Times New Roman" w:hAnsi="Times New Roman" w:cs="Times New Roman"/>
          <w:color w:val="000000"/>
          <w:sz w:val="24"/>
          <w:szCs w:val="24"/>
          <w:lang w:eastAsia="lt-LT"/>
        </w:rPr>
        <w:t>Bogušiškių</w:t>
      </w:r>
      <w:proofErr w:type="spellEnd"/>
      <w:r w:rsidRPr="006549AE">
        <w:rPr>
          <w:rFonts w:ascii="Times New Roman" w:eastAsia="Times New Roman" w:hAnsi="Times New Roman" w:cs="Times New Roman"/>
          <w:color w:val="000000"/>
          <w:sz w:val="24"/>
          <w:szCs w:val="24"/>
          <w:lang w:eastAsia="lt-LT"/>
        </w:rPr>
        <w:t xml:space="preserve"> II smėlio ir žvyro telkinio naujo ploto naudojimo.</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z w:val="24"/>
          <w:szCs w:val="24"/>
          <w:lang w:eastAsia="lt-LT"/>
        </w:rPr>
      </w:pPr>
      <w:r w:rsidRPr="006549AE">
        <w:rPr>
          <w:rFonts w:ascii="Times New Roman" w:eastAsia="Times New Roman" w:hAnsi="Times New Roman" w:cs="Times New Roman"/>
          <w:b/>
          <w:i/>
          <w:color w:val="000000"/>
          <w:sz w:val="24"/>
          <w:szCs w:val="24"/>
          <w:lang w:eastAsia="lt-LT"/>
        </w:rPr>
        <w:t>Informacija apie PŪV technologinius procesus</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NewRoman" w:eastAsia="Times New Roman" w:hAnsi="TimesNewRoman" w:cs="TimesNewRoman"/>
          <w:sz w:val="24"/>
          <w:szCs w:val="24"/>
          <w:lang w:eastAsia="lt-LT"/>
        </w:rPr>
      </w:pPr>
      <w:r w:rsidRPr="006549AE">
        <w:rPr>
          <w:rFonts w:ascii="TimesNewRoman" w:eastAsia="Times New Roman" w:hAnsi="TimesNewRoman" w:cs="TimesNewRoman"/>
          <w:sz w:val="24"/>
          <w:szCs w:val="24"/>
          <w:lang w:eastAsia="lt-LT"/>
        </w:rPr>
        <w:t xml:space="preserve">Kasybos darbus planuojamuose naudoti plotuose numatoma tęsti nuo veikiančio karjero pusės ir plėsti metinėms gavybos apimtims užtikrinti reikalingais plotais, </w:t>
      </w:r>
      <w:proofErr w:type="spellStart"/>
      <w:r w:rsidRPr="006549AE">
        <w:rPr>
          <w:rFonts w:ascii="TimesNewRoman" w:eastAsia="Times New Roman" w:hAnsi="TimesNewRoman" w:cs="TimesNewRoman"/>
          <w:sz w:val="24"/>
          <w:szCs w:val="24"/>
          <w:lang w:eastAsia="lt-LT"/>
        </w:rPr>
        <w:t>koncentrišku</w:t>
      </w:r>
      <w:proofErr w:type="spellEnd"/>
      <w:r w:rsidRPr="006549AE">
        <w:rPr>
          <w:rFonts w:ascii="TimesNewRoman" w:eastAsia="Times New Roman" w:hAnsi="TimesNewRoman" w:cs="TimesNewRoman"/>
          <w:sz w:val="24"/>
          <w:szCs w:val="24"/>
          <w:lang w:eastAsia="lt-LT"/>
        </w:rPr>
        <w:t xml:space="preserve"> darbų frontu, į naujų sklypų pakraščius. Planuojamos metinės gavybos apimtys naujuose telkinio plotuose – 100 tūkst. m</w:t>
      </w:r>
      <w:r w:rsidRPr="006549AE">
        <w:rPr>
          <w:rFonts w:ascii="TimesNewRoman" w:eastAsia="Times New Roman" w:hAnsi="TimesNewRoman" w:cs="TimesNewRoman"/>
          <w:sz w:val="24"/>
          <w:szCs w:val="24"/>
          <w:vertAlign w:val="superscript"/>
          <w:lang w:eastAsia="lt-LT"/>
        </w:rPr>
        <w:t>3</w:t>
      </w:r>
      <w:r w:rsidRPr="006549AE">
        <w:rPr>
          <w:rFonts w:ascii="TimesNewRoman" w:eastAsia="Times New Roman" w:hAnsi="TimesNewRoman" w:cs="TimesNewRoman"/>
          <w:sz w:val="24"/>
          <w:szCs w:val="24"/>
          <w:lang w:eastAsia="lt-LT"/>
        </w:rPr>
        <w:t>. Visi žvyro ir smėlio kasimo, pakrovimo bei transportavimo įrenginiai bus mobilūs.</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NewRoman" w:eastAsia="Times New Roman" w:hAnsi="TimesNewRoman" w:cs="TimesNewRoman"/>
          <w:sz w:val="24"/>
          <w:szCs w:val="24"/>
          <w:lang w:eastAsia="lt-LT"/>
        </w:rPr>
      </w:pPr>
      <w:r w:rsidRPr="006549AE">
        <w:rPr>
          <w:rFonts w:ascii="TimesNewRoman" w:eastAsia="Times New Roman" w:hAnsi="TimesNewRoman" w:cs="TimesNewRoman"/>
          <w:sz w:val="24"/>
          <w:szCs w:val="24"/>
          <w:lang w:eastAsia="lt-LT"/>
        </w:rPr>
        <w:t xml:space="preserve">Žvyro ir smėlio gavybos technologinio proceso sudedamosios dalys: dangos nuogulų nuėmimas; gavybos darbai; produkcijos realizacija; vietos rekultivavimas. </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NewRoman" w:eastAsia="Times New Roman" w:hAnsi="TimesNewRoman" w:cs="TimesNewRoman"/>
          <w:sz w:val="24"/>
          <w:szCs w:val="24"/>
          <w:lang w:eastAsia="lt-LT"/>
        </w:rPr>
      </w:pPr>
      <w:r w:rsidRPr="006549AE">
        <w:rPr>
          <w:rFonts w:ascii="TimesNewRoman" w:eastAsia="Times New Roman" w:hAnsi="TimesNewRoman" w:cs="TimesNewRoman"/>
          <w:sz w:val="24"/>
          <w:szCs w:val="24"/>
          <w:lang w:eastAsia="lt-LT"/>
        </w:rPr>
        <w:t xml:space="preserve">Pasiruošimo kasybai metu bus nuimtos dangą sudarančios nuogulos. Dirvožemis etapais sustumiamas į pylimus. Kitos dangos nuogulos tiesiai iš sluoksnio gabenamos į metinės gavybos ploto pakraščius, kur formuojamas pylimas, arba tiesiai į rekultivuojamus plotus. Kitas </w:t>
      </w:r>
      <w:proofErr w:type="spellStart"/>
      <w:r w:rsidRPr="006549AE">
        <w:rPr>
          <w:rFonts w:ascii="TimesNewRoman" w:eastAsia="Times New Roman" w:hAnsi="TimesNewRoman" w:cs="TimesNewRoman"/>
          <w:sz w:val="24"/>
          <w:szCs w:val="24"/>
          <w:lang w:eastAsia="lt-LT"/>
        </w:rPr>
        <w:t>nuodangos</w:t>
      </w:r>
      <w:proofErr w:type="spellEnd"/>
      <w:r w:rsidRPr="006549AE">
        <w:rPr>
          <w:rFonts w:ascii="TimesNewRoman" w:eastAsia="Times New Roman" w:hAnsi="TimesNewRoman" w:cs="TimesNewRoman"/>
          <w:sz w:val="24"/>
          <w:szCs w:val="24"/>
          <w:lang w:eastAsia="lt-LT"/>
        </w:rPr>
        <w:t xml:space="preserve"> nuogulas numatoma sandėliuoti atskirai nuo dirvožemio.</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NewRoman" w:eastAsia="Times New Roman" w:hAnsi="TimesNewRoman" w:cs="TimesNewRoman"/>
          <w:sz w:val="24"/>
          <w:szCs w:val="24"/>
          <w:lang w:eastAsia="lt-LT"/>
        </w:rPr>
      </w:pPr>
      <w:r w:rsidRPr="006549AE">
        <w:rPr>
          <w:rFonts w:ascii="TimesNewRoman" w:eastAsia="Times New Roman" w:hAnsi="TimesNewRoman" w:cs="TimesNewRoman"/>
          <w:sz w:val="24"/>
          <w:szCs w:val="24"/>
          <w:lang w:eastAsia="lt-LT"/>
        </w:rPr>
        <w:t xml:space="preserve">Sausą ir </w:t>
      </w:r>
      <w:proofErr w:type="spellStart"/>
      <w:r w:rsidRPr="006549AE">
        <w:rPr>
          <w:rFonts w:ascii="TimesNewRoman" w:eastAsia="Times New Roman" w:hAnsi="TimesNewRoman" w:cs="TimesNewRoman"/>
          <w:sz w:val="24"/>
          <w:szCs w:val="24"/>
          <w:lang w:eastAsia="lt-LT"/>
        </w:rPr>
        <w:t>apvandenintą</w:t>
      </w:r>
      <w:proofErr w:type="spellEnd"/>
      <w:r w:rsidRPr="006549AE">
        <w:rPr>
          <w:rFonts w:ascii="TimesNewRoman" w:eastAsia="Times New Roman" w:hAnsi="TimesNewRoman" w:cs="TimesNewRoman"/>
          <w:sz w:val="24"/>
          <w:szCs w:val="24"/>
          <w:lang w:eastAsia="lt-LT"/>
        </w:rPr>
        <w:t xml:space="preserve"> naudingą sluoksnį numatoma kasti atskirai. Tiesioginiam sauso žvyro ir smėlio klodo kasimui nuo šlaito bei pakrovimui į autotransportą bus naudojami ekskavatoriai, o tiesioginiam žvyro ir smėlio kasimui nuo šlaito bei perkėlimui iki sijojimo įrangos našūs </w:t>
      </w:r>
      <w:proofErr w:type="spellStart"/>
      <w:r w:rsidRPr="006549AE">
        <w:rPr>
          <w:rFonts w:ascii="TimesNewRoman" w:eastAsia="Times New Roman" w:hAnsi="TimesNewRoman" w:cs="TimesNewRoman"/>
          <w:sz w:val="24"/>
          <w:szCs w:val="24"/>
          <w:lang w:eastAsia="lt-LT"/>
        </w:rPr>
        <w:t>frontaliniai</w:t>
      </w:r>
      <w:proofErr w:type="spellEnd"/>
      <w:r w:rsidRPr="006549AE">
        <w:rPr>
          <w:rFonts w:ascii="TimesNewRoman" w:eastAsia="Times New Roman" w:hAnsi="TimesNewRoman" w:cs="TimesNewRoman"/>
          <w:sz w:val="24"/>
          <w:szCs w:val="24"/>
          <w:lang w:eastAsia="lt-LT"/>
        </w:rPr>
        <w:t xml:space="preserve"> krautuvai. Pilnai iškasus sausą naudingą klodą, </w:t>
      </w:r>
      <w:proofErr w:type="spellStart"/>
      <w:r w:rsidRPr="006549AE">
        <w:rPr>
          <w:rFonts w:ascii="TimesNewRoman" w:eastAsia="Times New Roman" w:hAnsi="TimesNewRoman" w:cs="TimesNewRoman"/>
          <w:sz w:val="24"/>
          <w:szCs w:val="24"/>
          <w:lang w:eastAsia="lt-LT"/>
        </w:rPr>
        <w:t>ilgastrėliu</w:t>
      </w:r>
      <w:proofErr w:type="spellEnd"/>
      <w:r w:rsidRPr="006549AE">
        <w:rPr>
          <w:rFonts w:ascii="TimesNewRoman" w:eastAsia="Times New Roman" w:hAnsi="TimesNewRoman" w:cs="TimesNewRoman"/>
          <w:sz w:val="24"/>
          <w:szCs w:val="24"/>
          <w:lang w:eastAsia="lt-LT"/>
        </w:rPr>
        <w:t xml:space="preserve"> ekskavatoriumi atskira gavybos pakopa bus vykdoma </w:t>
      </w:r>
      <w:proofErr w:type="spellStart"/>
      <w:r w:rsidRPr="006549AE">
        <w:rPr>
          <w:rFonts w:ascii="TimesNewRoman" w:eastAsia="Times New Roman" w:hAnsi="TimesNewRoman" w:cs="TimesNewRoman"/>
          <w:sz w:val="24"/>
          <w:szCs w:val="24"/>
          <w:lang w:eastAsia="lt-LT"/>
        </w:rPr>
        <w:t>apvandeninto</w:t>
      </w:r>
      <w:proofErr w:type="spellEnd"/>
      <w:r w:rsidRPr="006549AE">
        <w:rPr>
          <w:rFonts w:ascii="TimesNewRoman" w:eastAsia="Times New Roman" w:hAnsi="TimesNewRoman" w:cs="TimesNewRoman"/>
          <w:sz w:val="24"/>
          <w:szCs w:val="24"/>
          <w:lang w:eastAsia="lt-LT"/>
        </w:rPr>
        <w:t xml:space="preserve"> naudingo klodo gavyba. </w:t>
      </w:r>
      <w:proofErr w:type="spellStart"/>
      <w:r w:rsidRPr="006549AE">
        <w:rPr>
          <w:rFonts w:ascii="TimesNewRoman" w:eastAsia="Times New Roman" w:hAnsi="TimesNewRoman" w:cs="TimesNewRoman"/>
          <w:sz w:val="24"/>
          <w:szCs w:val="24"/>
          <w:lang w:eastAsia="lt-LT"/>
        </w:rPr>
        <w:t>Apvandeninto</w:t>
      </w:r>
      <w:proofErr w:type="spellEnd"/>
      <w:r w:rsidRPr="006549AE">
        <w:rPr>
          <w:rFonts w:ascii="TimesNewRoman" w:eastAsia="Times New Roman" w:hAnsi="TimesNewRoman" w:cs="TimesNewRoman"/>
          <w:sz w:val="24"/>
          <w:szCs w:val="24"/>
          <w:lang w:eastAsia="lt-LT"/>
        </w:rPr>
        <w:t xml:space="preserve"> žvyro ir smėlio gavyba vykdoma </w:t>
      </w:r>
      <w:proofErr w:type="spellStart"/>
      <w:r w:rsidRPr="006549AE">
        <w:rPr>
          <w:rFonts w:ascii="TimesNewRoman" w:eastAsia="Times New Roman" w:hAnsi="TimesNewRoman" w:cs="TimesNewRoman"/>
          <w:sz w:val="24"/>
          <w:szCs w:val="24"/>
          <w:lang w:eastAsia="lt-LT"/>
        </w:rPr>
        <w:t>ilgastrėliu</w:t>
      </w:r>
      <w:proofErr w:type="spellEnd"/>
      <w:r w:rsidRPr="006549AE">
        <w:rPr>
          <w:rFonts w:ascii="TimesNewRoman" w:eastAsia="Times New Roman" w:hAnsi="TimesNewRoman" w:cs="TimesNewRoman"/>
          <w:sz w:val="24"/>
          <w:szCs w:val="24"/>
          <w:lang w:eastAsia="lt-LT"/>
        </w:rPr>
        <w:t xml:space="preserve"> ekskavatoriumi. Gavybos metu kartu su žvyru ir smėliu iš </w:t>
      </w:r>
      <w:proofErr w:type="spellStart"/>
      <w:r w:rsidRPr="006549AE">
        <w:rPr>
          <w:rFonts w:ascii="TimesNewRoman" w:eastAsia="Times New Roman" w:hAnsi="TimesNewRoman" w:cs="TimesNewRoman"/>
          <w:sz w:val="24"/>
          <w:szCs w:val="24"/>
          <w:lang w:eastAsia="lt-LT"/>
        </w:rPr>
        <w:t>kasavietės</w:t>
      </w:r>
      <w:proofErr w:type="spellEnd"/>
      <w:r w:rsidRPr="006549AE">
        <w:rPr>
          <w:rFonts w:ascii="TimesNewRoman" w:eastAsia="Times New Roman" w:hAnsi="TimesNewRoman" w:cs="TimesNewRoman"/>
          <w:sz w:val="24"/>
          <w:szCs w:val="24"/>
          <w:lang w:eastAsia="lt-LT"/>
        </w:rPr>
        <w:t xml:space="preserve"> bus pasemiamas ir vanduo. Išpylus iš kaušo žvyrą ir smėlį į pylimus </w:t>
      </w:r>
      <w:proofErr w:type="spellStart"/>
      <w:r w:rsidRPr="006549AE">
        <w:rPr>
          <w:rFonts w:ascii="TimesNewRoman" w:eastAsia="Times New Roman" w:hAnsi="TimesNewRoman" w:cs="TimesNewRoman"/>
          <w:sz w:val="24"/>
          <w:szCs w:val="24"/>
          <w:lang w:eastAsia="lt-LT"/>
        </w:rPr>
        <w:t>nusivandeninimui</w:t>
      </w:r>
      <w:proofErr w:type="spellEnd"/>
      <w:r w:rsidRPr="006549AE">
        <w:rPr>
          <w:rFonts w:ascii="TimesNewRoman" w:eastAsia="Times New Roman" w:hAnsi="TimesNewRoman" w:cs="TimesNewRoman"/>
          <w:sz w:val="24"/>
          <w:szCs w:val="24"/>
          <w:lang w:eastAsia="lt-LT"/>
        </w:rPr>
        <w:t xml:space="preserve">, vanduo sugrįš į gruntinio vandens horizontą paviršiniu nuotėkiu bei infiltruosis į gruntą. </w:t>
      </w:r>
      <w:proofErr w:type="spellStart"/>
      <w:r w:rsidRPr="006549AE">
        <w:rPr>
          <w:rFonts w:ascii="TimesNewRoman" w:eastAsia="Times New Roman" w:hAnsi="TimesNewRoman" w:cs="TimesNewRoman"/>
          <w:sz w:val="24"/>
          <w:szCs w:val="24"/>
          <w:u w:val="single"/>
          <w:lang w:eastAsia="lt-LT"/>
        </w:rPr>
        <w:t>Apvandenintą</w:t>
      </w:r>
      <w:proofErr w:type="spellEnd"/>
      <w:r w:rsidRPr="006549AE">
        <w:rPr>
          <w:rFonts w:ascii="TimesNewRoman" w:eastAsia="Times New Roman" w:hAnsi="TimesNewRoman" w:cs="TimesNewRoman"/>
          <w:sz w:val="24"/>
          <w:szCs w:val="24"/>
          <w:u w:val="single"/>
          <w:lang w:eastAsia="lt-LT"/>
        </w:rPr>
        <w:t xml:space="preserve"> žvyro ir smėlio žaliavą planuojama kasti nežeminant požeminio (gruntinio) vandens lygio</w:t>
      </w:r>
      <w:r w:rsidRPr="006549AE">
        <w:rPr>
          <w:rFonts w:ascii="TimesNewRoman" w:eastAsia="Times New Roman" w:hAnsi="TimesNewRoman" w:cs="TimesNewRoman"/>
          <w:sz w:val="24"/>
          <w:szCs w:val="24"/>
          <w:lang w:eastAsia="lt-LT"/>
        </w:rPr>
        <w:t xml:space="preserve">. Kasant </w:t>
      </w:r>
      <w:proofErr w:type="spellStart"/>
      <w:r w:rsidRPr="006549AE">
        <w:rPr>
          <w:rFonts w:ascii="TimesNewRoman" w:eastAsia="Times New Roman" w:hAnsi="TimesNewRoman" w:cs="TimesNewRoman"/>
          <w:sz w:val="24"/>
          <w:szCs w:val="24"/>
          <w:lang w:eastAsia="lt-LT"/>
        </w:rPr>
        <w:t>apvandenintą</w:t>
      </w:r>
      <w:proofErr w:type="spellEnd"/>
      <w:r w:rsidRPr="006549AE">
        <w:rPr>
          <w:rFonts w:ascii="TimesNewRoman" w:eastAsia="Times New Roman" w:hAnsi="TimesNewRoman" w:cs="TimesNewRoman"/>
          <w:sz w:val="24"/>
          <w:szCs w:val="24"/>
          <w:lang w:eastAsia="lt-LT"/>
        </w:rPr>
        <w:t xml:space="preserve"> naudingą klodą iš po vandens, ilgainiui susidarys vienas didelis vandens telkinys.</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549AE">
        <w:rPr>
          <w:rFonts w:ascii="Times New Roman" w:eastAsia="Times New Roman" w:hAnsi="Times New Roman" w:cs="Times New Roman"/>
          <w:color w:val="000000"/>
          <w:sz w:val="24"/>
          <w:szCs w:val="24"/>
          <w:lang w:eastAsia="lt-LT"/>
        </w:rPr>
        <w:t>Planuojama 30% produkcijos (apie 30 tūkst. m</w:t>
      </w:r>
      <w:r w:rsidRPr="006549AE">
        <w:rPr>
          <w:rFonts w:ascii="Times New Roman" w:eastAsia="Times New Roman" w:hAnsi="Times New Roman" w:cs="Times New Roman"/>
          <w:color w:val="000000"/>
          <w:sz w:val="24"/>
          <w:szCs w:val="24"/>
          <w:vertAlign w:val="superscript"/>
          <w:lang w:eastAsia="lt-LT"/>
        </w:rPr>
        <w:t>3</w:t>
      </w:r>
      <w:r w:rsidRPr="006549AE">
        <w:rPr>
          <w:rFonts w:ascii="Times New Roman" w:eastAsia="Times New Roman" w:hAnsi="Times New Roman" w:cs="Times New Roman"/>
          <w:color w:val="000000"/>
          <w:sz w:val="24"/>
          <w:szCs w:val="24"/>
          <w:lang w:eastAsia="lt-LT"/>
        </w:rPr>
        <w:t xml:space="preserve"> per metus) perdirbti vietoje – sijoti ir plauti. Sijojimas atliekamas </w:t>
      </w:r>
      <w:proofErr w:type="spellStart"/>
      <w:r w:rsidRPr="006549AE">
        <w:rPr>
          <w:rFonts w:ascii="Times New Roman" w:eastAsia="Times New Roman" w:hAnsi="Times New Roman" w:cs="Times New Roman"/>
          <w:color w:val="000000"/>
          <w:sz w:val="24"/>
          <w:szCs w:val="24"/>
          <w:lang w:eastAsia="lt-LT"/>
        </w:rPr>
        <w:t>sijotuvu</w:t>
      </w:r>
      <w:proofErr w:type="spellEnd"/>
      <w:r w:rsidRPr="006549AE">
        <w:rPr>
          <w:rFonts w:ascii="Times New Roman" w:eastAsia="Times New Roman" w:hAnsi="Times New Roman" w:cs="Times New Roman"/>
          <w:color w:val="000000"/>
          <w:sz w:val="24"/>
          <w:szCs w:val="24"/>
          <w:lang w:eastAsia="lt-LT"/>
        </w:rPr>
        <w:t>, sijojimo trukmė – apie 250 val. per metus. Akmenskaldė karjere dirbs tik tuomet kai susikaups pakankamas skaldymui tinkamos žaliavos kiekis. Numatoma, kad akmenskalde bus sutrupinama apie 1,6 tūkst. m</w:t>
      </w:r>
      <w:r w:rsidRPr="006549AE">
        <w:rPr>
          <w:rFonts w:ascii="Times New Roman" w:eastAsia="Times New Roman" w:hAnsi="Times New Roman" w:cs="Times New Roman"/>
          <w:color w:val="000000"/>
          <w:sz w:val="24"/>
          <w:szCs w:val="24"/>
          <w:vertAlign w:val="superscript"/>
          <w:lang w:eastAsia="lt-LT"/>
        </w:rPr>
        <w:t>3</w:t>
      </w:r>
      <w:r w:rsidRPr="006549AE">
        <w:rPr>
          <w:rFonts w:ascii="Times New Roman" w:eastAsia="Times New Roman" w:hAnsi="Times New Roman" w:cs="Times New Roman"/>
          <w:color w:val="000000"/>
          <w:sz w:val="24"/>
          <w:szCs w:val="24"/>
          <w:lang w:eastAsia="lt-LT"/>
        </w:rPr>
        <w:t xml:space="preserve"> žaliavos per metus, skaldymo darbų trukmė – apie 4,6 val. per metus. Kadangi perdirbimo įranga mobili, pasislinkus kasybos frontui, siekiant sumažinti žaliavos pervežimo </w:t>
      </w:r>
      <w:proofErr w:type="spellStart"/>
      <w:r w:rsidRPr="006549AE">
        <w:rPr>
          <w:rFonts w:ascii="Times New Roman" w:eastAsia="Times New Roman" w:hAnsi="Times New Roman" w:cs="Times New Roman"/>
          <w:color w:val="000000"/>
          <w:sz w:val="24"/>
          <w:szCs w:val="24"/>
          <w:lang w:eastAsia="lt-LT"/>
        </w:rPr>
        <w:t>atstumus</w:t>
      </w:r>
      <w:proofErr w:type="spellEnd"/>
      <w:r w:rsidRPr="006549AE">
        <w:rPr>
          <w:rFonts w:ascii="Times New Roman" w:eastAsia="Times New Roman" w:hAnsi="Times New Roman" w:cs="Times New Roman"/>
          <w:color w:val="000000"/>
          <w:sz w:val="24"/>
          <w:szCs w:val="24"/>
          <w:lang w:eastAsia="lt-LT"/>
        </w:rPr>
        <w:t>, numatoma ją perkelti arčiau gavybos darbų fronto.</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549AE">
        <w:rPr>
          <w:rFonts w:ascii="Times New Roman" w:eastAsia="Times New Roman" w:hAnsi="Times New Roman" w:cs="Times New Roman"/>
          <w:color w:val="000000"/>
          <w:sz w:val="24"/>
          <w:szCs w:val="24"/>
          <w:lang w:eastAsia="lt-LT"/>
        </w:rPr>
        <w:t xml:space="preserve">PŪV metu numatoma vykdyti žaliavos plovimą. Žaliava į plovimo įrangą tiekiama </w:t>
      </w:r>
      <w:proofErr w:type="spellStart"/>
      <w:r w:rsidRPr="006549AE">
        <w:rPr>
          <w:rFonts w:ascii="Times New Roman" w:eastAsia="Times New Roman" w:hAnsi="Times New Roman" w:cs="Times New Roman"/>
          <w:color w:val="000000"/>
          <w:sz w:val="24"/>
          <w:szCs w:val="24"/>
          <w:lang w:eastAsia="lt-LT"/>
        </w:rPr>
        <w:t>frontaliniu</w:t>
      </w:r>
      <w:proofErr w:type="spellEnd"/>
      <w:r w:rsidRPr="006549AE">
        <w:rPr>
          <w:rFonts w:ascii="Times New Roman" w:eastAsia="Times New Roman" w:hAnsi="Times New Roman" w:cs="Times New Roman"/>
          <w:color w:val="000000"/>
          <w:sz w:val="24"/>
          <w:szCs w:val="24"/>
          <w:lang w:eastAsia="lt-LT"/>
        </w:rPr>
        <w:t xml:space="preserve"> krautuvu. Plovimo įrenginyje plovimas atliekamas įrenginyje ant viršutinio ir apatinio sietų integruotais purkštukais purškiant vandenį ant žaliavos. Vanduo (apie 150 m</w:t>
      </w:r>
      <w:r w:rsidRPr="006549AE">
        <w:rPr>
          <w:rFonts w:ascii="Times New Roman" w:eastAsia="Times New Roman" w:hAnsi="Times New Roman" w:cs="Times New Roman"/>
          <w:color w:val="000000"/>
          <w:sz w:val="24"/>
          <w:szCs w:val="24"/>
          <w:vertAlign w:val="superscript"/>
          <w:lang w:eastAsia="lt-LT"/>
        </w:rPr>
        <w:t>3</w:t>
      </w:r>
      <w:r w:rsidRPr="006549AE">
        <w:rPr>
          <w:rFonts w:ascii="Times New Roman" w:eastAsia="Times New Roman" w:hAnsi="Times New Roman" w:cs="Times New Roman"/>
          <w:color w:val="000000"/>
          <w:sz w:val="24"/>
          <w:szCs w:val="24"/>
          <w:lang w:eastAsia="lt-LT"/>
        </w:rPr>
        <w:t xml:space="preserve">/val.)  siurbiamas elektriniu siurbliu iš vieno karjere esančio vandens baseino, o po plovimo gražinamas į kitą vandens baseiną, esantį to paties karjero dugne. Šiame vandens baseine susikaupiančios smulkios dalelės periodiškai išvalomos ir išvežamos į rekultivuojamus plotus arba, esant poreikiui, tiekiamos kelių sankasų įrengimui ar </w:t>
      </w:r>
      <w:proofErr w:type="spellStart"/>
      <w:r w:rsidRPr="006549AE">
        <w:rPr>
          <w:rFonts w:ascii="Times New Roman" w:eastAsia="Times New Roman" w:hAnsi="Times New Roman" w:cs="Times New Roman"/>
          <w:color w:val="000000"/>
          <w:sz w:val="24"/>
          <w:szCs w:val="24"/>
          <w:lang w:eastAsia="lt-LT"/>
        </w:rPr>
        <w:t>užpylimams</w:t>
      </w:r>
      <w:proofErr w:type="spellEnd"/>
      <w:r w:rsidRPr="006549AE">
        <w:rPr>
          <w:rFonts w:ascii="Times New Roman" w:eastAsia="Times New Roman" w:hAnsi="Times New Roman" w:cs="Times New Roman"/>
          <w:color w:val="000000"/>
          <w:sz w:val="24"/>
          <w:szCs w:val="24"/>
          <w:lang w:eastAsia="lt-LT"/>
        </w:rPr>
        <w:t xml:space="preserve">. Išplauta žaliava patenka į </w:t>
      </w:r>
      <w:proofErr w:type="spellStart"/>
      <w:r w:rsidRPr="006549AE">
        <w:rPr>
          <w:rFonts w:ascii="Times New Roman" w:eastAsia="Times New Roman" w:hAnsi="Times New Roman" w:cs="Times New Roman"/>
          <w:color w:val="000000"/>
          <w:sz w:val="24"/>
          <w:szCs w:val="24"/>
          <w:lang w:eastAsia="lt-LT"/>
        </w:rPr>
        <w:t>nuvandenininmo</w:t>
      </w:r>
      <w:proofErr w:type="spellEnd"/>
      <w:r w:rsidRPr="006549AE">
        <w:rPr>
          <w:rFonts w:ascii="Times New Roman" w:eastAsia="Times New Roman" w:hAnsi="Times New Roman" w:cs="Times New Roman"/>
          <w:color w:val="000000"/>
          <w:sz w:val="24"/>
          <w:szCs w:val="24"/>
          <w:lang w:eastAsia="lt-LT"/>
        </w:rPr>
        <w:t xml:space="preserve"> įrenginį, iš kurio nukreipiama į čia pat karjere formuojamą produkcijos kūgį laikinam sandėliavimui karjero iškasoje.</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549AE">
        <w:rPr>
          <w:rFonts w:ascii="Times New Roman" w:eastAsia="Times New Roman" w:hAnsi="Times New Roman" w:cs="Times New Roman"/>
          <w:color w:val="000000"/>
          <w:sz w:val="24"/>
          <w:szCs w:val="24"/>
          <w:lang w:eastAsia="lt-LT"/>
        </w:rPr>
        <w:t xml:space="preserve">Produkcijos išvežimui iš karjero papildomų kelių įrengimas nenumatomas – bus naudojamasi jau esamu veikiančio karjero produkcijos transportavimo iš gavybos vietos asfaltuotu keliu. </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549AE">
        <w:rPr>
          <w:rFonts w:ascii="Times New Roman" w:eastAsia="Times New Roman" w:hAnsi="Times New Roman" w:cs="Times New Roman"/>
          <w:color w:val="000000"/>
          <w:sz w:val="24"/>
          <w:szCs w:val="24"/>
          <w:lang w:eastAsia="lt-LT"/>
        </w:rPr>
        <w:t>Baigus žvyro ir smėlio gavybos darbus, numatoma atlikti PŪV vietos sutvarkymo darbus susidariusiame giliame vandens telkinyje ir jį supančiuose iškasos šlaituose bei jiems artimiausiose prieigose. Tuo tikslu numatomi atlikti rekultivavimo darbai:</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549AE">
        <w:rPr>
          <w:rFonts w:ascii="Times New Roman" w:eastAsia="Times New Roman" w:hAnsi="Times New Roman" w:cs="Times New Roman"/>
          <w:color w:val="000000"/>
          <w:sz w:val="24"/>
          <w:szCs w:val="24"/>
          <w:lang w:eastAsia="lt-LT"/>
        </w:rPr>
        <w:t>– dangos nuogulomis lėkštinami buvusios iškasos šlaitai;</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549AE">
        <w:rPr>
          <w:rFonts w:ascii="Times New Roman" w:eastAsia="Times New Roman" w:hAnsi="Times New Roman" w:cs="Times New Roman"/>
          <w:color w:val="000000"/>
          <w:sz w:val="24"/>
          <w:szCs w:val="24"/>
          <w:lang w:eastAsia="lt-LT"/>
        </w:rPr>
        <w:t>– šlaitai apsėjami žole ir apsodinami iškasos apylinkėms būdingais medžiais;</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549AE">
        <w:rPr>
          <w:rFonts w:ascii="Times New Roman" w:eastAsia="Times New Roman" w:hAnsi="Times New Roman" w:cs="Times New Roman"/>
          <w:color w:val="000000"/>
          <w:sz w:val="24"/>
          <w:szCs w:val="24"/>
          <w:lang w:eastAsia="lt-LT"/>
        </w:rPr>
        <w:lastRenderedPageBreak/>
        <w:t xml:space="preserve">– pagal naudojimo plano sprendinius baigus žvyro ir smėlio gavybą, susidariusiame vandens telkinyje atliekami hidrobiologiniai tyrimai – vertinama susidariusi aplinka </w:t>
      </w:r>
      <w:proofErr w:type="spellStart"/>
      <w:r w:rsidRPr="006549AE">
        <w:rPr>
          <w:rFonts w:ascii="Times New Roman" w:eastAsia="Times New Roman" w:hAnsi="Times New Roman" w:cs="Times New Roman"/>
          <w:color w:val="000000"/>
          <w:sz w:val="24"/>
          <w:szCs w:val="24"/>
          <w:lang w:eastAsia="lt-LT"/>
        </w:rPr>
        <w:t>zoobentoso</w:t>
      </w:r>
      <w:proofErr w:type="spellEnd"/>
      <w:r w:rsidRPr="006549AE">
        <w:rPr>
          <w:rFonts w:ascii="Times New Roman" w:eastAsia="Times New Roman" w:hAnsi="Times New Roman" w:cs="Times New Roman"/>
          <w:color w:val="000000"/>
          <w:sz w:val="24"/>
          <w:szCs w:val="24"/>
          <w:lang w:eastAsia="lt-LT"/>
        </w:rPr>
        <w:t xml:space="preserve">, žuvų bei paukščių gyvenimo sąlygoms, vertinamos vandens telkinio </w:t>
      </w:r>
      <w:proofErr w:type="spellStart"/>
      <w:r w:rsidRPr="006549AE">
        <w:rPr>
          <w:rFonts w:ascii="Times New Roman" w:eastAsia="Times New Roman" w:hAnsi="Times New Roman" w:cs="Times New Roman"/>
          <w:color w:val="000000"/>
          <w:sz w:val="24"/>
          <w:szCs w:val="24"/>
          <w:lang w:eastAsia="lt-LT"/>
        </w:rPr>
        <w:t>hidrocheminės</w:t>
      </w:r>
      <w:proofErr w:type="spellEnd"/>
      <w:r w:rsidRPr="006549AE">
        <w:rPr>
          <w:rFonts w:ascii="Times New Roman" w:eastAsia="Times New Roman" w:hAnsi="Times New Roman" w:cs="Times New Roman"/>
          <w:color w:val="000000"/>
          <w:sz w:val="24"/>
          <w:szCs w:val="24"/>
          <w:lang w:eastAsia="lt-LT"/>
        </w:rPr>
        <w:t xml:space="preserve"> sąlygos. Pagal tyrimų pagrindu paruoštą planą formuojama vandens telkiniui būdinga ekosistema – iš apylinkėse esamo genofondo atkuriamos ar </w:t>
      </w:r>
      <w:proofErr w:type="spellStart"/>
      <w:r w:rsidRPr="006549AE">
        <w:rPr>
          <w:rFonts w:ascii="Times New Roman" w:eastAsia="Times New Roman" w:hAnsi="Times New Roman" w:cs="Times New Roman"/>
          <w:color w:val="000000"/>
          <w:sz w:val="24"/>
          <w:szCs w:val="24"/>
          <w:lang w:eastAsia="lt-LT"/>
        </w:rPr>
        <w:t>introdukuojamos</w:t>
      </w:r>
      <w:proofErr w:type="spellEnd"/>
      <w:r w:rsidRPr="006549AE">
        <w:rPr>
          <w:rFonts w:ascii="Times New Roman" w:eastAsia="Times New Roman" w:hAnsi="Times New Roman" w:cs="Times New Roman"/>
          <w:color w:val="000000"/>
          <w:sz w:val="24"/>
          <w:szCs w:val="24"/>
          <w:lang w:eastAsia="lt-LT"/>
        </w:rPr>
        <w:t xml:space="preserve"> reikiamos </w:t>
      </w:r>
      <w:proofErr w:type="spellStart"/>
      <w:r w:rsidRPr="006549AE">
        <w:rPr>
          <w:rFonts w:ascii="Times New Roman" w:eastAsia="Times New Roman" w:hAnsi="Times New Roman" w:cs="Times New Roman"/>
          <w:color w:val="000000"/>
          <w:sz w:val="24"/>
          <w:szCs w:val="24"/>
          <w:lang w:eastAsia="lt-LT"/>
        </w:rPr>
        <w:t>hidrobiontų</w:t>
      </w:r>
      <w:proofErr w:type="spellEnd"/>
      <w:r w:rsidRPr="006549AE">
        <w:rPr>
          <w:rFonts w:ascii="Times New Roman" w:eastAsia="Times New Roman" w:hAnsi="Times New Roman" w:cs="Times New Roman"/>
          <w:color w:val="000000"/>
          <w:sz w:val="24"/>
          <w:szCs w:val="24"/>
          <w:lang w:eastAsia="lt-LT"/>
        </w:rPr>
        <w:t xml:space="preserve"> rūšys ir subalansuojami jų kiekiai.</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549AE">
        <w:rPr>
          <w:rFonts w:ascii="Times New Roman" w:eastAsia="Times New Roman" w:hAnsi="Times New Roman" w:cs="Times New Roman"/>
          <w:color w:val="000000"/>
          <w:sz w:val="24"/>
          <w:szCs w:val="24"/>
          <w:lang w:eastAsia="lt-LT"/>
        </w:rPr>
        <w:t>Rekultivaciją numatoma atlikti etapais – vos tik kurioje telkinio vietoje pilnai iškasamas žvyras ir smėlis, nedelsiant pradedami rekultivacijos darbai.</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highlight w:val="yellow"/>
          <w:lang w:eastAsia="lt-LT"/>
        </w:rPr>
      </w:pPr>
      <w:r w:rsidRPr="006549AE">
        <w:rPr>
          <w:rFonts w:ascii="Times New Roman" w:eastAsia="Times New Roman" w:hAnsi="Times New Roman" w:cs="Times New Roman"/>
          <w:color w:val="000000"/>
          <w:sz w:val="24"/>
          <w:szCs w:val="24"/>
          <w:lang w:eastAsia="lt-LT"/>
        </w:rPr>
        <w:t xml:space="preserve">Kasybą telkinio naujuose plotuose planuojama vykdyti ištisus metus (kasant sausą naudingąjį sluoksnį), o </w:t>
      </w:r>
      <w:proofErr w:type="spellStart"/>
      <w:r w:rsidRPr="006549AE">
        <w:rPr>
          <w:rFonts w:ascii="Times New Roman" w:eastAsia="Times New Roman" w:hAnsi="Times New Roman" w:cs="Times New Roman"/>
          <w:color w:val="000000"/>
          <w:sz w:val="24"/>
          <w:szCs w:val="24"/>
          <w:lang w:eastAsia="lt-LT"/>
        </w:rPr>
        <w:t>apvandenintą</w:t>
      </w:r>
      <w:proofErr w:type="spellEnd"/>
      <w:r w:rsidRPr="006549AE">
        <w:rPr>
          <w:rFonts w:ascii="Times New Roman" w:eastAsia="Times New Roman" w:hAnsi="Times New Roman" w:cs="Times New Roman"/>
          <w:color w:val="000000"/>
          <w:sz w:val="24"/>
          <w:szCs w:val="24"/>
          <w:lang w:eastAsia="lt-LT"/>
        </w:rPr>
        <w:t xml:space="preserve"> – 8 mėn. per metus (išskyrus šaltą metų periodą), 5 darbo dienas per savaitę (nuo 6 iki 18 val.). Veikiančiame karjere, ties produkcijos išvežimo keliu yra pastatytas laikinas, mobilus konteinerinio tipo vagonėlis, kuriame veikia administracinės ir darbuotojų buitinės patalpos, bei biotualetas. Planuojama ir toliau jais naudotis įsisavinant telkinio naujus plotus. Mobilių įrengimų laikymui ne darbo metu bei jų smulkaus remonto vykdymui numatoma naudoti greta administracinės - buitinės paskirties patalpų įrengta technikos saugojimo aikštele. Dyzelinas ir tepalai PŪV vietoje saugomi nebus – pagal poreikį bus atvežami iš vietinių skysto kuro bei tepalų tiekėjų.</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6549AE">
        <w:rPr>
          <w:rFonts w:ascii="Times New Roman" w:eastAsia="Times New Roman" w:hAnsi="Times New Roman" w:cs="Times New Roman"/>
          <w:b/>
          <w:i/>
          <w:color w:val="000000"/>
          <w:spacing w:val="-2"/>
          <w:sz w:val="24"/>
          <w:szCs w:val="24"/>
          <w:lang w:eastAsia="lt-LT"/>
        </w:rPr>
        <w:t>Informacija apie atliekų susidarymą ir tvarkymą</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Atsižvelgiant į tai, kad žemės sklype, kurio kadastrinis Nr. 3355/0002:350, esantį sodybos namą numatoma nugriauti, susidarys apie 59,09 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statybos ir griovimo atliekų, iš jų apie 0,7 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pavojingų atliekų (asbestinis šiferis). Atliekas numatyta perduoti atliekų tvarkytojams, turintiems teisę tvarkyti šias atliekas.</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Telkinio naudojimo metu numatoma, kad susidarys mechanizmų eksploatacijos metu susidarančios atliekos – naudoti tepalai, pašluostės, naudotos padangos, kurias planuojama pagal sutartis perduoti atliekų tvarkytojams, turintiems teisę tvarkyti šias atliekas.</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6549AE">
        <w:rPr>
          <w:rFonts w:ascii="Times New Roman" w:eastAsia="Times New Roman" w:hAnsi="Times New Roman" w:cs="Times New Roman"/>
          <w:b/>
          <w:i/>
          <w:color w:val="000000"/>
          <w:spacing w:val="-2"/>
          <w:sz w:val="24"/>
          <w:szCs w:val="24"/>
          <w:lang w:eastAsia="lt-LT"/>
        </w:rPr>
        <w:t>Informacija apie PŪV poveikį aplinkos orui</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Į aplinkos orą teršalai pateks iš mobilių aplinkos oro taršos šaltinių. Išskiriamų teršalų kiekiai apskaičiuoti pagal Teršiančių medžiagų, išmetamų į atmosferą iš mašinų su vidaus degimo varikliais, vertinimo metodiką, patvirtintą Lietuvos Respublikos aplinkos ministro 1998 m. liepos 13 d. įsakymu Nr.125 „Dėl teršiančių medžiagų, išmetamų į atmosferą iš mašinų su vidaus degimo varikliais, vertinimo metodikos patvirtinimo“. PŪV poveikis aplinkos orui PAV ataskaitoje įvertintas kartu su tame pačiame telkinyje kitų gavybą vykdančių ūkio subjektų aplinkos oro tarša.</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 xml:space="preserve">Atliktas aplinkos oro teršalų sklaidos matematinis modeliavimas kompiuterinių programų paketu „ISC-AERMOD </w:t>
      </w:r>
      <w:proofErr w:type="spellStart"/>
      <w:r w:rsidRPr="006549AE">
        <w:rPr>
          <w:rFonts w:ascii="Times New Roman" w:eastAsia="Times New Roman" w:hAnsi="Times New Roman" w:cs="Times New Roman"/>
          <w:color w:val="000000"/>
          <w:spacing w:val="-2"/>
          <w:sz w:val="24"/>
          <w:szCs w:val="24"/>
          <w:lang w:eastAsia="lt-LT"/>
        </w:rPr>
        <w:t>View</w:t>
      </w:r>
      <w:proofErr w:type="spellEnd"/>
      <w:r w:rsidRPr="006549AE">
        <w:rPr>
          <w:rFonts w:ascii="Times New Roman" w:eastAsia="Times New Roman" w:hAnsi="Times New Roman" w:cs="Times New Roman"/>
          <w:color w:val="000000"/>
          <w:spacing w:val="-2"/>
          <w:sz w:val="24"/>
          <w:szCs w:val="24"/>
          <w:lang w:eastAsia="lt-LT"/>
        </w:rPr>
        <w:t xml:space="preserve">“ AERMOD matematiniu modeliu, naudojant Lietuvos hidrometeorologijos tarnybos prie Aplinkos ministerijos pateiktus Varėnos meteorologijos stoties 2010-2014 m. meteorologinius duomenis. Įvertinus foninę taršą, PŪV teritorijoje nustatytos koncentracijos:  azoto dioksido 1 val. – 17,3 </w:t>
      </w:r>
      <w:proofErr w:type="spellStart"/>
      <w:r w:rsidRPr="006549AE">
        <w:rPr>
          <w:rFonts w:ascii="Times New Roman" w:eastAsia="Times New Roman" w:hAnsi="Times New Roman" w:cs="Times New Roman"/>
          <w:color w:val="000000"/>
          <w:spacing w:val="-2"/>
          <w:sz w:val="24"/>
          <w:szCs w:val="24"/>
          <w:lang w:eastAsia="lt-LT"/>
        </w:rPr>
        <w:t>μg</w:t>
      </w:r>
      <w:proofErr w:type="spellEnd"/>
      <w:r w:rsidRPr="006549AE">
        <w:rPr>
          <w:rFonts w:ascii="Times New Roman" w:eastAsia="Times New Roman" w:hAnsi="Times New Roman" w:cs="Times New Roman"/>
          <w:color w:val="000000"/>
          <w:spacing w:val="-2"/>
          <w:sz w:val="24"/>
          <w:szCs w:val="24"/>
          <w:lang w:eastAsia="lt-LT"/>
        </w:rPr>
        <w:t>/m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(0,24 ribinės vertės (RV)), azoto dioksido metų koncentracija – 5,77 </w:t>
      </w:r>
      <w:proofErr w:type="spellStart"/>
      <w:r w:rsidRPr="006549AE">
        <w:rPr>
          <w:rFonts w:ascii="Times New Roman" w:eastAsia="Times New Roman" w:hAnsi="Times New Roman" w:cs="Times New Roman"/>
          <w:color w:val="000000"/>
          <w:spacing w:val="-2"/>
          <w:sz w:val="24"/>
          <w:szCs w:val="24"/>
          <w:lang w:eastAsia="lt-LT"/>
        </w:rPr>
        <w:t>μg</w:t>
      </w:r>
      <w:proofErr w:type="spellEnd"/>
      <w:r w:rsidRPr="006549AE">
        <w:rPr>
          <w:rFonts w:ascii="Times New Roman" w:eastAsia="Times New Roman" w:hAnsi="Times New Roman" w:cs="Times New Roman"/>
          <w:color w:val="000000"/>
          <w:spacing w:val="-2"/>
          <w:sz w:val="24"/>
          <w:szCs w:val="24"/>
          <w:lang w:eastAsia="lt-LT"/>
        </w:rPr>
        <w:t>/m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(0,14 RV), anglies </w:t>
      </w:r>
      <w:proofErr w:type="spellStart"/>
      <w:r w:rsidRPr="006549AE">
        <w:rPr>
          <w:rFonts w:ascii="Times New Roman" w:eastAsia="Times New Roman" w:hAnsi="Times New Roman" w:cs="Times New Roman"/>
          <w:color w:val="000000"/>
          <w:spacing w:val="-2"/>
          <w:sz w:val="24"/>
          <w:szCs w:val="24"/>
          <w:lang w:eastAsia="lt-LT"/>
        </w:rPr>
        <w:t>monoksido</w:t>
      </w:r>
      <w:proofErr w:type="spellEnd"/>
      <w:r w:rsidRPr="006549AE">
        <w:rPr>
          <w:rFonts w:ascii="Times New Roman" w:eastAsia="Times New Roman" w:hAnsi="Times New Roman" w:cs="Times New Roman"/>
          <w:color w:val="000000"/>
          <w:spacing w:val="-2"/>
          <w:sz w:val="24"/>
          <w:szCs w:val="24"/>
          <w:lang w:eastAsia="lt-LT"/>
        </w:rPr>
        <w:t xml:space="preserve"> 8 val. koncentracija – 605 </w:t>
      </w:r>
      <w:proofErr w:type="spellStart"/>
      <w:r w:rsidRPr="006549AE">
        <w:rPr>
          <w:rFonts w:ascii="Times New Roman" w:eastAsia="Times New Roman" w:hAnsi="Times New Roman" w:cs="Times New Roman"/>
          <w:color w:val="000000"/>
          <w:spacing w:val="-2"/>
          <w:sz w:val="24"/>
          <w:szCs w:val="24"/>
          <w:lang w:eastAsia="lt-LT"/>
        </w:rPr>
        <w:t>μg</w:t>
      </w:r>
      <w:proofErr w:type="spellEnd"/>
      <w:r w:rsidRPr="006549AE">
        <w:rPr>
          <w:rFonts w:ascii="Times New Roman" w:eastAsia="Times New Roman" w:hAnsi="Times New Roman" w:cs="Times New Roman"/>
          <w:color w:val="000000"/>
          <w:spacing w:val="-2"/>
          <w:sz w:val="24"/>
          <w:szCs w:val="24"/>
          <w:lang w:eastAsia="lt-LT"/>
        </w:rPr>
        <w:t>/m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(0,06 RV), kietųjų dalelių (KD10) paros – 44 </w:t>
      </w:r>
      <w:proofErr w:type="spellStart"/>
      <w:r w:rsidRPr="006549AE">
        <w:rPr>
          <w:rFonts w:ascii="Times New Roman" w:eastAsia="Times New Roman" w:hAnsi="Times New Roman" w:cs="Times New Roman"/>
          <w:color w:val="000000"/>
          <w:spacing w:val="-2"/>
          <w:sz w:val="24"/>
          <w:szCs w:val="24"/>
          <w:lang w:eastAsia="lt-LT"/>
        </w:rPr>
        <w:t>μg</w:t>
      </w:r>
      <w:proofErr w:type="spellEnd"/>
      <w:r w:rsidRPr="006549AE">
        <w:rPr>
          <w:rFonts w:ascii="Times New Roman" w:eastAsia="Times New Roman" w:hAnsi="Times New Roman" w:cs="Times New Roman"/>
          <w:color w:val="000000"/>
          <w:spacing w:val="-2"/>
          <w:sz w:val="24"/>
          <w:szCs w:val="24"/>
          <w:lang w:eastAsia="lt-LT"/>
        </w:rPr>
        <w:t>/m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(0,88 RV), kietųjų dalelių (KD10) metų – 24 </w:t>
      </w:r>
      <w:proofErr w:type="spellStart"/>
      <w:r w:rsidRPr="006549AE">
        <w:rPr>
          <w:rFonts w:ascii="Times New Roman" w:eastAsia="Times New Roman" w:hAnsi="Times New Roman" w:cs="Times New Roman"/>
          <w:color w:val="000000"/>
          <w:spacing w:val="-2"/>
          <w:sz w:val="24"/>
          <w:szCs w:val="24"/>
          <w:lang w:eastAsia="lt-LT"/>
        </w:rPr>
        <w:t>μg</w:t>
      </w:r>
      <w:proofErr w:type="spellEnd"/>
      <w:r w:rsidRPr="006549AE">
        <w:rPr>
          <w:rFonts w:ascii="Times New Roman" w:eastAsia="Times New Roman" w:hAnsi="Times New Roman" w:cs="Times New Roman"/>
          <w:color w:val="000000"/>
          <w:spacing w:val="-2"/>
          <w:sz w:val="24"/>
          <w:szCs w:val="24"/>
          <w:lang w:eastAsia="lt-LT"/>
        </w:rPr>
        <w:t>/m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(0,60 RV), kietųjų dalelių (KD2,5) metų – 14,33 </w:t>
      </w:r>
      <w:proofErr w:type="spellStart"/>
      <w:r w:rsidRPr="006549AE">
        <w:rPr>
          <w:rFonts w:ascii="Times New Roman" w:eastAsia="Times New Roman" w:hAnsi="Times New Roman" w:cs="Times New Roman"/>
          <w:color w:val="000000"/>
          <w:spacing w:val="-2"/>
          <w:sz w:val="24"/>
          <w:szCs w:val="24"/>
          <w:lang w:eastAsia="lt-LT"/>
        </w:rPr>
        <w:t>μg</w:t>
      </w:r>
      <w:proofErr w:type="spellEnd"/>
      <w:r w:rsidRPr="006549AE">
        <w:rPr>
          <w:rFonts w:ascii="Times New Roman" w:eastAsia="Times New Roman" w:hAnsi="Times New Roman" w:cs="Times New Roman"/>
          <w:color w:val="000000"/>
          <w:spacing w:val="-2"/>
          <w:sz w:val="24"/>
          <w:szCs w:val="24"/>
          <w:lang w:eastAsia="lt-LT"/>
        </w:rPr>
        <w:t>/m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(0,57 RV), sieros dioksido 1 val. – 64,8 </w:t>
      </w:r>
      <w:proofErr w:type="spellStart"/>
      <w:r w:rsidRPr="006549AE">
        <w:rPr>
          <w:rFonts w:ascii="Times New Roman" w:eastAsia="Times New Roman" w:hAnsi="Times New Roman" w:cs="Times New Roman"/>
          <w:color w:val="000000"/>
          <w:spacing w:val="-2"/>
          <w:sz w:val="24"/>
          <w:szCs w:val="24"/>
          <w:lang w:eastAsia="lt-LT"/>
        </w:rPr>
        <w:t>μg</w:t>
      </w:r>
      <w:proofErr w:type="spellEnd"/>
      <w:r w:rsidRPr="006549AE">
        <w:rPr>
          <w:rFonts w:ascii="Times New Roman" w:eastAsia="Times New Roman" w:hAnsi="Times New Roman" w:cs="Times New Roman"/>
          <w:color w:val="000000"/>
          <w:spacing w:val="-2"/>
          <w:sz w:val="24"/>
          <w:szCs w:val="24"/>
          <w:lang w:eastAsia="lt-LT"/>
        </w:rPr>
        <w:t>/m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(0,19 RV), sieros dioksido paros – 19,8 </w:t>
      </w:r>
      <w:proofErr w:type="spellStart"/>
      <w:r w:rsidRPr="006549AE">
        <w:rPr>
          <w:rFonts w:ascii="Times New Roman" w:eastAsia="Times New Roman" w:hAnsi="Times New Roman" w:cs="Times New Roman"/>
          <w:color w:val="000000"/>
          <w:spacing w:val="-2"/>
          <w:sz w:val="24"/>
          <w:szCs w:val="24"/>
          <w:lang w:eastAsia="lt-LT"/>
        </w:rPr>
        <w:t>μg</w:t>
      </w:r>
      <w:proofErr w:type="spellEnd"/>
      <w:r w:rsidRPr="006549AE">
        <w:rPr>
          <w:rFonts w:ascii="Times New Roman" w:eastAsia="Times New Roman" w:hAnsi="Times New Roman" w:cs="Times New Roman"/>
          <w:color w:val="000000"/>
          <w:spacing w:val="-2"/>
          <w:sz w:val="24"/>
          <w:szCs w:val="24"/>
          <w:lang w:eastAsia="lt-LT"/>
        </w:rPr>
        <w:t>/m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xml:space="preserve"> (0,16 RV), lakiųjų organinių junginių 1 val. – 183 </w:t>
      </w:r>
      <w:proofErr w:type="spellStart"/>
      <w:r w:rsidRPr="006549AE">
        <w:rPr>
          <w:rFonts w:ascii="Times New Roman" w:eastAsia="Times New Roman" w:hAnsi="Times New Roman" w:cs="Times New Roman"/>
          <w:color w:val="000000"/>
          <w:spacing w:val="-2"/>
          <w:sz w:val="24"/>
          <w:szCs w:val="24"/>
          <w:lang w:eastAsia="lt-LT"/>
        </w:rPr>
        <w:t>μg</w:t>
      </w:r>
      <w:proofErr w:type="spellEnd"/>
      <w:r w:rsidRPr="006549AE">
        <w:rPr>
          <w:rFonts w:ascii="Times New Roman" w:eastAsia="Times New Roman" w:hAnsi="Times New Roman" w:cs="Times New Roman"/>
          <w:color w:val="000000"/>
          <w:spacing w:val="-2"/>
          <w:sz w:val="24"/>
          <w:szCs w:val="24"/>
          <w:lang w:eastAsia="lt-LT"/>
        </w:rPr>
        <w:t>/m</w:t>
      </w:r>
      <w:r w:rsidRPr="006549AE">
        <w:rPr>
          <w:rFonts w:ascii="Times New Roman" w:eastAsia="Times New Roman" w:hAnsi="Times New Roman" w:cs="Times New Roman"/>
          <w:color w:val="000000"/>
          <w:spacing w:val="-2"/>
          <w:sz w:val="24"/>
          <w:szCs w:val="24"/>
          <w:vertAlign w:val="superscript"/>
          <w:lang w:eastAsia="lt-LT"/>
        </w:rPr>
        <w:t>3</w:t>
      </w:r>
      <w:r w:rsidRPr="006549AE">
        <w:rPr>
          <w:rFonts w:ascii="Times New Roman" w:eastAsia="Times New Roman" w:hAnsi="Times New Roman" w:cs="Times New Roman"/>
          <w:color w:val="000000"/>
          <w:spacing w:val="-2"/>
          <w:sz w:val="24"/>
          <w:szCs w:val="24"/>
          <w:lang w:eastAsia="lt-LT"/>
        </w:rPr>
        <w:t>. Pagal PAV ataskaitoje pateiktą informaciją aplinkos oro teršalų RV viršijimo nenumatoma.</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6549AE">
        <w:rPr>
          <w:rFonts w:ascii="Times New Roman" w:eastAsia="Times New Roman" w:hAnsi="Times New Roman" w:cs="Times New Roman"/>
          <w:b/>
          <w:i/>
          <w:color w:val="000000"/>
          <w:spacing w:val="-2"/>
          <w:sz w:val="24"/>
          <w:szCs w:val="24"/>
          <w:lang w:eastAsia="lt-LT"/>
        </w:rPr>
        <w:t>Informacija apie PŪV poveikį vandeniui</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PŪV teritorijoje vandens telkinių nėra, o gretimybėse  hidrografinis tinklas yra retas.</w:t>
      </w:r>
      <w:r w:rsidRPr="006549AE">
        <w:rPr>
          <w:rFonts w:ascii="Times New Roman" w:eastAsia="Times New Roman" w:hAnsi="Times New Roman" w:cs="Times New Roman"/>
          <w:sz w:val="24"/>
          <w:szCs w:val="24"/>
          <w:lang w:eastAsia="ar-SA"/>
        </w:rPr>
        <w:t xml:space="preserve"> </w:t>
      </w:r>
      <w:r w:rsidRPr="006549AE">
        <w:rPr>
          <w:rFonts w:ascii="Times New Roman" w:eastAsia="Times New Roman" w:hAnsi="Times New Roman" w:cs="Times New Roman"/>
          <w:color w:val="000000"/>
          <w:spacing w:val="-2"/>
          <w:sz w:val="24"/>
          <w:szCs w:val="24"/>
          <w:lang w:eastAsia="lt-LT"/>
        </w:rPr>
        <w:t xml:space="preserve">Artimiausi paviršinio vandens telkiniai: apie 1,5 km atstumu į rytus esantis </w:t>
      </w:r>
      <w:proofErr w:type="spellStart"/>
      <w:r w:rsidRPr="006549AE">
        <w:rPr>
          <w:rFonts w:ascii="Times New Roman" w:eastAsia="Times New Roman" w:hAnsi="Times New Roman" w:cs="Times New Roman"/>
          <w:color w:val="000000"/>
          <w:spacing w:val="-2"/>
          <w:sz w:val="24"/>
          <w:szCs w:val="24"/>
          <w:lang w:eastAsia="lt-LT"/>
        </w:rPr>
        <w:t>Suvingio</w:t>
      </w:r>
      <w:proofErr w:type="spellEnd"/>
      <w:r w:rsidRPr="006549AE">
        <w:rPr>
          <w:rFonts w:ascii="Times New Roman" w:eastAsia="Times New Roman" w:hAnsi="Times New Roman" w:cs="Times New Roman"/>
          <w:color w:val="000000"/>
          <w:spacing w:val="-2"/>
          <w:sz w:val="24"/>
          <w:szCs w:val="24"/>
          <w:lang w:eastAsia="lt-LT"/>
        </w:rPr>
        <w:t xml:space="preserve"> ežeras bei apie 2,0 km į rytus nuo telkinio iš </w:t>
      </w:r>
      <w:proofErr w:type="spellStart"/>
      <w:r w:rsidRPr="006549AE">
        <w:rPr>
          <w:rFonts w:ascii="Times New Roman" w:eastAsia="Times New Roman" w:hAnsi="Times New Roman" w:cs="Times New Roman"/>
          <w:color w:val="000000"/>
          <w:spacing w:val="-2"/>
          <w:sz w:val="24"/>
          <w:szCs w:val="24"/>
          <w:lang w:eastAsia="lt-LT"/>
        </w:rPr>
        <w:t>Suvingio</w:t>
      </w:r>
      <w:proofErr w:type="spellEnd"/>
      <w:r w:rsidRPr="006549AE">
        <w:rPr>
          <w:rFonts w:ascii="Times New Roman" w:eastAsia="Times New Roman" w:hAnsi="Times New Roman" w:cs="Times New Roman"/>
          <w:color w:val="000000"/>
          <w:spacing w:val="-2"/>
          <w:sz w:val="24"/>
          <w:szCs w:val="24"/>
          <w:lang w:eastAsia="lt-LT"/>
        </w:rPr>
        <w:t xml:space="preserve"> ežero ištekanti </w:t>
      </w:r>
      <w:proofErr w:type="spellStart"/>
      <w:r w:rsidRPr="006549AE">
        <w:rPr>
          <w:rFonts w:ascii="Times New Roman" w:eastAsia="Times New Roman" w:hAnsi="Times New Roman" w:cs="Times New Roman"/>
          <w:color w:val="000000"/>
          <w:spacing w:val="-2"/>
          <w:sz w:val="24"/>
          <w:szCs w:val="24"/>
          <w:lang w:eastAsia="lt-LT"/>
        </w:rPr>
        <w:t>Karmės</w:t>
      </w:r>
      <w:proofErr w:type="spellEnd"/>
      <w:r w:rsidRPr="006549AE">
        <w:rPr>
          <w:rFonts w:ascii="Times New Roman" w:eastAsia="Times New Roman" w:hAnsi="Times New Roman" w:cs="Times New Roman"/>
          <w:color w:val="000000"/>
          <w:spacing w:val="-2"/>
          <w:sz w:val="24"/>
          <w:szCs w:val="24"/>
          <w:lang w:eastAsia="lt-LT"/>
        </w:rPr>
        <w:t xml:space="preserve"> upė.</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Atsižvelgiant į PŪV vietos ir jos artimiausių prieigų geologinę struktūrą ir tai, kad kasybos darbus numatoma atlikti nežeminant požeminio (gruntinio) vandens lygio, PŪV poveikio hidrologiniam režimui ir artimiausiems šachtiniams šuliniams nenumatoma.</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6549AE">
        <w:rPr>
          <w:rFonts w:ascii="Times New Roman" w:eastAsia="Times New Roman" w:hAnsi="Times New Roman" w:cs="Times New Roman"/>
          <w:b/>
          <w:i/>
          <w:color w:val="000000"/>
          <w:spacing w:val="-2"/>
          <w:sz w:val="24"/>
          <w:szCs w:val="24"/>
          <w:lang w:eastAsia="lt-LT"/>
        </w:rPr>
        <w:t xml:space="preserve">Informacija apie PŪV poveikį dirvožemiui, žemės gelmėms </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lastRenderedPageBreak/>
        <w:t>Siekiant išsaugoti derlingąjį dirvožemio sluoksnį, prieš naudingųjų iškasenų gavybą dirvožemį numatoma sustumti į pylimus ir juos apsėti žolių mišiniu. Vykdant rekultivacijos darbus, dirvožemį numatoma paskleisti ant nulėkštintų iškasos šlaitų.</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6549AE">
        <w:rPr>
          <w:rFonts w:ascii="Times New Roman" w:eastAsia="Times New Roman" w:hAnsi="Times New Roman" w:cs="Times New Roman"/>
          <w:color w:val="000000"/>
          <w:spacing w:val="-2"/>
          <w:sz w:val="24"/>
          <w:szCs w:val="24"/>
          <w:lang w:eastAsia="lt-LT"/>
        </w:rPr>
        <w:t xml:space="preserve">PAV ataskaitoje pateiktas smėlio ir žvyro telkinio naujų plotų geologinių-hidrogeologinių sąlygų bei numatomos naudoti naudingosios iškasenos apibūdinimas. Vidurkinis naudingojo sluoksnio storis siekia 10-12 m, iš jo </w:t>
      </w:r>
      <w:proofErr w:type="spellStart"/>
      <w:r w:rsidRPr="006549AE">
        <w:rPr>
          <w:rFonts w:ascii="Times New Roman" w:eastAsia="Times New Roman" w:hAnsi="Times New Roman" w:cs="Times New Roman"/>
          <w:color w:val="000000"/>
          <w:spacing w:val="-2"/>
          <w:sz w:val="24"/>
          <w:szCs w:val="24"/>
          <w:lang w:eastAsia="lt-LT"/>
        </w:rPr>
        <w:t>apvandeninto</w:t>
      </w:r>
      <w:proofErr w:type="spellEnd"/>
      <w:r w:rsidRPr="006549AE">
        <w:rPr>
          <w:rFonts w:ascii="Times New Roman" w:eastAsia="Times New Roman" w:hAnsi="Times New Roman" w:cs="Times New Roman"/>
          <w:color w:val="000000"/>
          <w:spacing w:val="-2"/>
          <w:sz w:val="24"/>
          <w:szCs w:val="24"/>
          <w:lang w:eastAsia="lt-LT"/>
        </w:rPr>
        <w:t xml:space="preserve"> klodo dalies storis – apie 3 m. Atsižvelgiant į tai, kad vyraujantis molio-</w:t>
      </w:r>
      <w:proofErr w:type="spellStart"/>
      <w:r w:rsidRPr="006549AE">
        <w:rPr>
          <w:rFonts w:ascii="Times New Roman" w:eastAsia="Times New Roman" w:hAnsi="Times New Roman" w:cs="Times New Roman"/>
          <w:color w:val="000000"/>
          <w:spacing w:val="-2"/>
          <w:sz w:val="24"/>
          <w:szCs w:val="24"/>
          <w:lang w:eastAsia="lt-LT"/>
        </w:rPr>
        <w:t>aleurito</w:t>
      </w:r>
      <w:proofErr w:type="spellEnd"/>
      <w:r w:rsidRPr="006549AE">
        <w:rPr>
          <w:rFonts w:ascii="Times New Roman" w:eastAsia="Times New Roman" w:hAnsi="Times New Roman" w:cs="Times New Roman"/>
          <w:color w:val="000000"/>
          <w:spacing w:val="-2"/>
          <w:sz w:val="24"/>
          <w:szCs w:val="24"/>
          <w:lang w:eastAsia="lt-LT"/>
        </w:rPr>
        <w:t xml:space="preserve"> dalelių kiekis neviršija 4 proc., telkinyje esanti naudingoji iškasena pasižymi aukštais kokybės rodikliais. </w:t>
      </w:r>
    </w:p>
    <w:p w:rsidR="006549AE" w:rsidRPr="006549AE" w:rsidRDefault="006549AE" w:rsidP="006549AE">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6549AE">
        <w:rPr>
          <w:rFonts w:ascii="Times New Roman" w:eastAsia="Times New Roman" w:hAnsi="Times New Roman" w:cs="Times New Roman"/>
          <w:b/>
          <w:i/>
          <w:color w:val="000000"/>
          <w:spacing w:val="-2"/>
          <w:sz w:val="24"/>
          <w:szCs w:val="24"/>
          <w:lang w:eastAsia="lt-LT"/>
        </w:rPr>
        <w:t>Informacija apie PŪV poveikį biologinei įvairovei ir saugomoms teritorijoms</w:t>
      </w:r>
    </w:p>
    <w:p w:rsidR="006549AE" w:rsidRPr="006549AE" w:rsidRDefault="006549AE" w:rsidP="006549A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6549AE">
        <w:rPr>
          <w:rFonts w:ascii="Times New Roman" w:eastAsia="Times New Roman" w:hAnsi="Times New Roman" w:cs="Times New Roman"/>
          <w:bCs/>
          <w:sz w:val="24"/>
          <w:szCs w:val="24"/>
          <w:lang w:eastAsia="ar-SA"/>
        </w:rPr>
        <w:t xml:space="preserve"> Saugomų rūšių informacinėje sistemoje PŪV teritorijoje nėra registruota saugomų rūšių </w:t>
      </w:r>
      <w:proofErr w:type="spellStart"/>
      <w:r w:rsidRPr="006549AE">
        <w:rPr>
          <w:rFonts w:ascii="Times New Roman" w:eastAsia="Times New Roman" w:hAnsi="Times New Roman" w:cs="Times New Roman"/>
          <w:bCs/>
          <w:sz w:val="24"/>
          <w:szCs w:val="24"/>
          <w:lang w:eastAsia="ar-SA"/>
        </w:rPr>
        <w:t>radaviečių</w:t>
      </w:r>
      <w:proofErr w:type="spellEnd"/>
      <w:r w:rsidRPr="006549AE">
        <w:rPr>
          <w:rFonts w:ascii="Times New Roman" w:eastAsia="Times New Roman" w:hAnsi="Times New Roman" w:cs="Times New Roman"/>
          <w:bCs/>
          <w:sz w:val="24"/>
          <w:szCs w:val="24"/>
          <w:lang w:eastAsia="ar-SA"/>
        </w:rPr>
        <w:t xml:space="preserve"> ir </w:t>
      </w:r>
      <w:proofErr w:type="spellStart"/>
      <w:r w:rsidRPr="006549AE">
        <w:rPr>
          <w:rFonts w:ascii="Times New Roman" w:eastAsia="Times New Roman" w:hAnsi="Times New Roman" w:cs="Times New Roman"/>
          <w:bCs/>
          <w:sz w:val="24"/>
          <w:szCs w:val="24"/>
          <w:lang w:eastAsia="ar-SA"/>
        </w:rPr>
        <w:t>augaviečių</w:t>
      </w:r>
      <w:proofErr w:type="spellEnd"/>
      <w:r w:rsidRPr="006549AE">
        <w:rPr>
          <w:rFonts w:ascii="Times New Roman" w:eastAsia="Times New Roman" w:hAnsi="Times New Roman" w:cs="Times New Roman"/>
          <w:bCs/>
          <w:sz w:val="24"/>
          <w:szCs w:val="24"/>
          <w:lang w:eastAsia="ar-SA"/>
        </w:rPr>
        <w:t xml:space="preserve">. PAV ataskaitos rengėjai PŪV teritorijoje atliko biologinės įvairovės tyrimus. </w:t>
      </w:r>
    </w:p>
    <w:p w:rsidR="006549AE" w:rsidRPr="006549AE" w:rsidRDefault="006549AE" w:rsidP="006549A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6549AE">
        <w:rPr>
          <w:rFonts w:ascii="Times New Roman" w:eastAsia="Times New Roman" w:hAnsi="Times New Roman" w:cs="Times New Roman"/>
          <w:bCs/>
          <w:sz w:val="24"/>
          <w:szCs w:val="24"/>
          <w:lang w:eastAsia="ar-SA"/>
        </w:rPr>
        <w:t>Pagal PAV ataskaitoje pateiktą informaciją, dėl telkinio naujų plotų eksploatacijos reikšmingo poveikio gyvūnijai ir augalijai nenumatoma, gamtiniu požiūriu vertingos buveinės nebus pažeistos. Numatytos kasybos technologijos turės minimalų poveikį greta naudojamo telkinio esančioms teritorijoms dėl galimo trikdymo.</w:t>
      </w:r>
    </w:p>
    <w:p w:rsidR="006549AE" w:rsidRPr="006549AE" w:rsidRDefault="006549AE" w:rsidP="006549A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6549AE">
        <w:rPr>
          <w:rFonts w:ascii="Times New Roman" w:eastAsia="Times New Roman" w:hAnsi="Times New Roman" w:cs="Times New Roman"/>
          <w:bCs/>
          <w:sz w:val="24"/>
          <w:szCs w:val="24"/>
          <w:lang w:eastAsia="ar-SA"/>
        </w:rPr>
        <w:t xml:space="preserve">Planuojamos ūkinės veiklos vieta nepatenka į saugomas teritorijas ir gamtinio karkaso ribas. Artimiausia saugoma teritorija yra į šiaurės vakarus apie 4,8 km atstumu nuo eksploatuojamo </w:t>
      </w:r>
      <w:proofErr w:type="spellStart"/>
      <w:r w:rsidRPr="006549AE">
        <w:rPr>
          <w:rFonts w:ascii="Times New Roman" w:eastAsia="Times New Roman" w:hAnsi="Times New Roman" w:cs="Times New Roman"/>
          <w:bCs/>
          <w:sz w:val="24"/>
          <w:szCs w:val="24"/>
          <w:lang w:eastAsia="ar-SA"/>
        </w:rPr>
        <w:t>Bogušiškių</w:t>
      </w:r>
      <w:proofErr w:type="spellEnd"/>
      <w:r w:rsidRPr="006549AE">
        <w:rPr>
          <w:rFonts w:ascii="Times New Roman" w:eastAsia="Times New Roman" w:hAnsi="Times New Roman" w:cs="Times New Roman"/>
          <w:bCs/>
          <w:sz w:val="24"/>
          <w:szCs w:val="24"/>
          <w:lang w:eastAsia="ar-SA"/>
        </w:rPr>
        <w:t xml:space="preserve"> II žvyro ir smėlio telkinio nutolęs Varčios </w:t>
      </w:r>
      <w:proofErr w:type="spellStart"/>
      <w:r w:rsidRPr="006549AE">
        <w:rPr>
          <w:rFonts w:ascii="Times New Roman" w:eastAsia="Times New Roman" w:hAnsi="Times New Roman" w:cs="Times New Roman"/>
          <w:bCs/>
          <w:sz w:val="24"/>
          <w:szCs w:val="24"/>
          <w:lang w:eastAsia="ar-SA"/>
        </w:rPr>
        <w:t>pedologinis</w:t>
      </w:r>
      <w:proofErr w:type="spellEnd"/>
      <w:r w:rsidRPr="006549AE">
        <w:rPr>
          <w:rFonts w:ascii="Times New Roman" w:eastAsia="Times New Roman" w:hAnsi="Times New Roman" w:cs="Times New Roman"/>
          <w:bCs/>
          <w:sz w:val="24"/>
          <w:szCs w:val="24"/>
          <w:lang w:eastAsia="ar-SA"/>
        </w:rPr>
        <w:t xml:space="preserve"> draustinis. Šis draustinis įsteigtas siekiant išsaugoti Pietų Lietuvos aukštumų šiaurinių atšlaičių velėninius jaurinius </w:t>
      </w:r>
      <w:proofErr w:type="spellStart"/>
      <w:r w:rsidRPr="006549AE">
        <w:rPr>
          <w:rFonts w:ascii="Times New Roman" w:eastAsia="Times New Roman" w:hAnsi="Times New Roman" w:cs="Times New Roman"/>
          <w:bCs/>
          <w:sz w:val="24"/>
          <w:szCs w:val="24"/>
          <w:lang w:eastAsia="ar-SA"/>
        </w:rPr>
        <w:t>glėjinius</w:t>
      </w:r>
      <w:proofErr w:type="spellEnd"/>
      <w:r w:rsidRPr="006549AE">
        <w:rPr>
          <w:rFonts w:ascii="Times New Roman" w:eastAsia="Times New Roman" w:hAnsi="Times New Roman" w:cs="Times New Roman"/>
          <w:bCs/>
          <w:sz w:val="24"/>
          <w:szCs w:val="24"/>
          <w:lang w:eastAsia="ar-SA"/>
        </w:rPr>
        <w:t xml:space="preserve"> priemolio dirvožemius, todėl atsižvelgiant į atstumą nuo PŪV iki draustinio, PŪV poveikio </w:t>
      </w:r>
      <w:proofErr w:type="spellStart"/>
      <w:r w:rsidRPr="006549AE">
        <w:rPr>
          <w:rFonts w:ascii="Times New Roman" w:eastAsia="Times New Roman" w:hAnsi="Times New Roman" w:cs="Times New Roman"/>
          <w:bCs/>
          <w:sz w:val="24"/>
          <w:szCs w:val="24"/>
          <w:lang w:eastAsia="ar-SA"/>
        </w:rPr>
        <w:t>pedologiniam</w:t>
      </w:r>
      <w:proofErr w:type="spellEnd"/>
      <w:r w:rsidRPr="006549AE">
        <w:rPr>
          <w:rFonts w:ascii="Times New Roman" w:eastAsia="Times New Roman" w:hAnsi="Times New Roman" w:cs="Times New Roman"/>
          <w:bCs/>
          <w:sz w:val="24"/>
          <w:szCs w:val="24"/>
          <w:lang w:eastAsia="ar-SA"/>
        </w:rPr>
        <w:t xml:space="preserve"> draustiniui nenumatoma.</w:t>
      </w:r>
    </w:p>
    <w:p w:rsidR="006549AE" w:rsidRPr="006549AE" w:rsidRDefault="006549AE" w:rsidP="006549A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6549AE">
        <w:rPr>
          <w:rFonts w:ascii="Times New Roman" w:eastAsia="Times New Roman" w:hAnsi="Times New Roman" w:cs="Times New Roman"/>
          <w:bCs/>
          <w:sz w:val="24"/>
          <w:szCs w:val="24"/>
          <w:lang w:eastAsia="ar-SA"/>
        </w:rPr>
        <w:t xml:space="preserve">Kultūros paveldo objektų, archeologinių ir istorinių paminklų PŪV teritorijoje ir pačiose artimiausiose jai prieigose nėra. Artimiausi kultūros paveldo objektai – Lietuvos </w:t>
      </w:r>
      <w:proofErr w:type="spellStart"/>
      <w:r w:rsidRPr="006549AE">
        <w:rPr>
          <w:rFonts w:ascii="Times New Roman" w:eastAsia="Times New Roman" w:hAnsi="Times New Roman" w:cs="Times New Roman"/>
          <w:bCs/>
          <w:sz w:val="24"/>
          <w:szCs w:val="24"/>
          <w:lang w:eastAsia="ar-SA"/>
        </w:rPr>
        <w:t>karioVlado</w:t>
      </w:r>
      <w:proofErr w:type="spellEnd"/>
      <w:r w:rsidRPr="006549AE">
        <w:rPr>
          <w:rFonts w:ascii="Times New Roman" w:eastAsia="Times New Roman" w:hAnsi="Times New Roman" w:cs="Times New Roman"/>
          <w:bCs/>
          <w:sz w:val="24"/>
          <w:szCs w:val="24"/>
          <w:lang w:eastAsia="ar-SA"/>
        </w:rPr>
        <w:t xml:space="preserve"> Dusevičiaus kapas ir </w:t>
      </w:r>
      <w:proofErr w:type="spellStart"/>
      <w:r w:rsidRPr="006549AE">
        <w:rPr>
          <w:rFonts w:ascii="Times New Roman" w:eastAsia="Times New Roman" w:hAnsi="Times New Roman" w:cs="Times New Roman"/>
          <w:bCs/>
          <w:sz w:val="24"/>
          <w:szCs w:val="24"/>
          <w:lang w:eastAsia="ar-SA"/>
        </w:rPr>
        <w:t>Rimėnų</w:t>
      </w:r>
      <w:proofErr w:type="spellEnd"/>
      <w:r w:rsidRPr="006549AE">
        <w:rPr>
          <w:rFonts w:ascii="Times New Roman" w:eastAsia="Times New Roman" w:hAnsi="Times New Roman" w:cs="Times New Roman"/>
          <w:bCs/>
          <w:sz w:val="24"/>
          <w:szCs w:val="24"/>
          <w:lang w:eastAsia="ar-SA"/>
        </w:rPr>
        <w:t xml:space="preserve"> senovės gyvenvietė, nuo PŪV vietos nutolę apie 1,2-1,3 km atstumu. PŪV vyks atokiau nuo minėtų kultūros paveldo objektų ir jų apsaugos zonų, todėl PŪV poveikio kultūros paveldo objektams nenumatoma.</w:t>
      </w:r>
    </w:p>
    <w:p w:rsidR="006549AE" w:rsidRPr="006549AE" w:rsidRDefault="006549AE" w:rsidP="006549A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6549AE">
        <w:rPr>
          <w:rFonts w:ascii="Times New Roman" w:eastAsia="Times New Roman" w:hAnsi="Times New Roman" w:cs="Times New Roman"/>
          <w:b/>
          <w:bCs/>
          <w:i/>
          <w:sz w:val="24"/>
          <w:szCs w:val="24"/>
          <w:lang w:eastAsia="ar-SA"/>
        </w:rPr>
        <w:t>Informacija apie PŪV poveikį kraštovaizdžiui</w:t>
      </w:r>
    </w:p>
    <w:p w:rsidR="006549AE" w:rsidRPr="006549AE" w:rsidRDefault="006549AE" w:rsidP="006549A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6549AE">
        <w:rPr>
          <w:rFonts w:ascii="Times New Roman" w:eastAsia="Times New Roman" w:hAnsi="Times New Roman" w:cs="Times New Roman"/>
          <w:bCs/>
          <w:sz w:val="24"/>
          <w:szCs w:val="24"/>
          <w:lang w:eastAsia="ar-SA"/>
        </w:rPr>
        <w:t>Planuojami naudoti telkinio nauji plotai yra didelėje, lėkštai banguotoje, teigiamoje pakilumoje, kuri palaipsniui žemėja pietų, pietvakarių ir vakarų kryptimis. Santykiniai peraukštėjimai siekia 3 - 10 m. Absoliutiniai aukščiai kinta 141,03 – 156,28 m. ribose. Planuojamų naudoti naujų telkinio plotų reljefas pažeistas – šiauriniu plotu nutiestas asfaltuotas produkcijos išvežimo kelias, ties eksploatuojamais telkinio plotais sklypuose supilti dangos nuogulų pylimai. PŪV metu vietovės reljefas bus pakeistas, nes kasybos metu bus nukasamas vidutiniškai 14,9 m naudingo klodo sluoksnis, o storiausiose vietose – iki 19,3 m. Baigus telkinio eksploataciją, iškasos šlaitai bus nulėkštinti, ant jų paskleistas dirvožemis, pasėta žolė. Rekultivuoti šlaitai bus apsodinti mišku, taip kompensuojant dėl kasybos susidariusius reljefo pakitimus.</w:t>
      </w:r>
    </w:p>
    <w:p w:rsidR="006549AE" w:rsidRPr="006549AE" w:rsidRDefault="006549AE" w:rsidP="006549A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6549AE">
        <w:rPr>
          <w:rFonts w:ascii="Times New Roman" w:eastAsia="Times New Roman" w:hAnsi="Times New Roman" w:cs="Times New Roman"/>
          <w:b/>
          <w:bCs/>
          <w:i/>
          <w:sz w:val="24"/>
          <w:szCs w:val="24"/>
          <w:lang w:eastAsia="ar-SA"/>
        </w:rPr>
        <w:t>Informacija apie PŪV poveikį visuomenės sveikatai</w:t>
      </w:r>
    </w:p>
    <w:p w:rsidR="006549AE" w:rsidRPr="006549AE" w:rsidRDefault="006549AE" w:rsidP="006549AE">
      <w:pPr>
        <w:suppressAutoHyphens/>
        <w:spacing w:after="0" w:line="240" w:lineRule="auto"/>
        <w:ind w:firstLine="720"/>
        <w:jc w:val="both"/>
        <w:rPr>
          <w:rFonts w:ascii="Times New Roman" w:eastAsia="Times New Roman" w:hAnsi="Times New Roman" w:cs="Times New Roman"/>
          <w:bCs/>
          <w:sz w:val="24"/>
          <w:szCs w:val="24"/>
          <w:lang w:eastAsia="ar-SA"/>
        </w:rPr>
      </w:pPr>
      <w:r w:rsidRPr="006549AE">
        <w:rPr>
          <w:rFonts w:ascii="Times New Roman" w:eastAsia="Times New Roman" w:hAnsi="Times New Roman" w:cs="Times New Roman"/>
          <w:bCs/>
          <w:sz w:val="24"/>
          <w:szCs w:val="24"/>
          <w:lang w:eastAsia="ar-SA"/>
        </w:rPr>
        <w:t>Poveikio aplinkai vertinimo metu atliktas poveikio visuomenės sveikatai vertinimas. Atsižvelgiant į PŪV pobūdį, PAV ataskaitoje įvertinti šie visuomenės sveikatos veiksniai: aplinkos oro tarša, triukšmas.</w:t>
      </w:r>
    </w:p>
    <w:p w:rsidR="006549AE" w:rsidRPr="006549AE" w:rsidRDefault="006549AE" w:rsidP="006549AE">
      <w:pPr>
        <w:suppressAutoHyphens/>
        <w:spacing w:after="0" w:line="240" w:lineRule="auto"/>
        <w:ind w:firstLine="720"/>
        <w:jc w:val="both"/>
        <w:rPr>
          <w:rFonts w:ascii="Times New Roman" w:eastAsia="Times New Roman" w:hAnsi="Times New Roman" w:cs="Times New Roman"/>
          <w:bCs/>
          <w:sz w:val="24"/>
          <w:szCs w:val="24"/>
          <w:lang w:eastAsia="ar-SA"/>
        </w:rPr>
      </w:pPr>
      <w:r w:rsidRPr="006549AE">
        <w:rPr>
          <w:rFonts w:ascii="Times New Roman" w:eastAsia="Times New Roman" w:hAnsi="Times New Roman" w:cs="Times New Roman"/>
          <w:bCs/>
          <w:sz w:val="24"/>
          <w:szCs w:val="24"/>
          <w:lang w:eastAsia="ar-SA"/>
        </w:rPr>
        <w:t xml:space="preserve">Visi įrenginių keliami triukšmo dydžiai parinkti vadovaujantis Europos Parlamento ir Tarybos 2000 m. gegužės 8 d. direktyva 2000/14/EB „Dėl lauko sąlygomis naudojamos įrangos į aplinką skleidžiamo triukšmo“ leidžiamomis garso galiomis. Triukšmo skaičiavimai atlikti kompiuterine programa CADNA A 4.0. Skaičiavimuose įvertintas pastatų </w:t>
      </w:r>
      <w:proofErr w:type="spellStart"/>
      <w:r w:rsidRPr="006549AE">
        <w:rPr>
          <w:rFonts w:ascii="Times New Roman" w:eastAsia="Times New Roman" w:hAnsi="Times New Roman" w:cs="Times New Roman"/>
          <w:bCs/>
          <w:sz w:val="24"/>
          <w:szCs w:val="24"/>
          <w:lang w:eastAsia="ar-SA"/>
        </w:rPr>
        <w:t>aukštingumas</w:t>
      </w:r>
      <w:proofErr w:type="spellEnd"/>
      <w:r w:rsidRPr="006549AE">
        <w:rPr>
          <w:rFonts w:ascii="Times New Roman" w:eastAsia="Times New Roman" w:hAnsi="Times New Roman" w:cs="Times New Roman"/>
          <w:bCs/>
          <w:sz w:val="24"/>
          <w:szCs w:val="24"/>
          <w:lang w:eastAsia="ar-SA"/>
        </w:rPr>
        <w:t xml:space="preserve">, reljefas, meteorologinės sąlygos, vietovės triukšmo absorbcinės savybės ir foninis triukšmas, kurį sukuria kiti tą patį telkinį naudojantys veiklos vykdytojai bei šalia esantys valstybinės reikšmės keliai. Triukšmo sklaidos modeliavimui pasirinktas didžiausios technogeninės apkrovos variantas – visi mechanizmai skleidžia maksimalų triukšmo dydį visoje teritorijoje nuo 6 iki 18 val.; mechanizmai dirba žemės paviršiuje </w:t>
      </w:r>
      <w:r w:rsidRPr="006549AE">
        <w:rPr>
          <w:rFonts w:ascii="Times New Roman" w:eastAsia="Times New Roman" w:hAnsi="Times New Roman" w:cs="Times New Roman"/>
          <w:bCs/>
          <w:sz w:val="24"/>
          <w:szCs w:val="24"/>
          <w:lang w:eastAsia="ar-SA"/>
        </w:rPr>
        <w:lastRenderedPageBreak/>
        <w:t>(nors, gavyba bus vykdoma „duobėje“). Pagal PAV ataskaitoje atliktą triukšmo sklaidos modeliavimą, leistino triukšmo lygio viršijimų gyvenamojoje aplinkoje nenustatyta.</w:t>
      </w:r>
    </w:p>
    <w:p w:rsidR="006549AE" w:rsidRPr="006549AE" w:rsidRDefault="006549AE" w:rsidP="006549AE">
      <w:pPr>
        <w:suppressAutoHyphens/>
        <w:spacing w:after="0" w:line="240" w:lineRule="auto"/>
        <w:ind w:firstLine="720"/>
        <w:jc w:val="both"/>
        <w:rPr>
          <w:rFonts w:ascii="Times New Roman" w:eastAsia="Times New Roman" w:hAnsi="Times New Roman" w:cs="Times New Roman"/>
          <w:b/>
          <w:bCs/>
          <w:i/>
          <w:sz w:val="24"/>
          <w:szCs w:val="24"/>
          <w:lang w:eastAsia="ar-SA"/>
        </w:rPr>
      </w:pPr>
      <w:r w:rsidRPr="006549AE">
        <w:rPr>
          <w:rFonts w:ascii="Times New Roman" w:eastAsia="Times New Roman" w:hAnsi="Times New Roman" w:cs="Times New Roman"/>
          <w:b/>
          <w:bCs/>
          <w:i/>
          <w:sz w:val="24"/>
          <w:szCs w:val="24"/>
          <w:lang w:eastAsia="ar-SA"/>
        </w:rPr>
        <w:t>Informacija apie PŪV poveikį socialinei ekonominei aplinkai</w:t>
      </w:r>
    </w:p>
    <w:p w:rsidR="006549AE" w:rsidRPr="005C0978" w:rsidRDefault="006549AE" w:rsidP="006549A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5C0978">
        <w:rPr>
          <w:rFonts w:ascii="Times New Roman" w:eastAsia="Times New Roman" w:hAnsi="Times New Roman" w:cs="Times New Roman"/>
          <w:bCs/>
          <w:sz w:val="24"/>
          <w:szCs w:val="24"/>
          <w:lang w:eastAsia="ar-SA"/>
        </w:rPr>
        <w:t>Pagal PAV ataskaitoje pateiktą informaciją sutvarkyta PŪV vieta su daugiau kaip 40 ha vandens telkiniu, tikėtina, būtų stimulu vietos gyventojams plėtoti žemdirbystei alternatyvias kaimo turizmo, paukščių stebėjimo organizavimo ar kitas su rekreacija susijusias veikas (plaukiojimas, laukinės aplinkos stebėjimas). Numatoma, kad baigus žvyro ir smėlio gavybą, ties susidariusiu ir sutvarkytu vandens telkiniu pakiltų čia esančių žemės sklypų bei sodybų vertė.</w:t>
      </w:r>
    </w:p>
    <w:p w:rsidR="004A5361" w:rsidRPr="005C0978" w:rsidRDefault="004A5361" w:rsidP="006549A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5C0978">
        <w:rPr>
          <w:rFonts w:ascii="Times New Roman" w:eastAsia="Calibri" w:hAnsi="Times New Roman" w:cs="Times New Roman"/>
          <w:b/>
          <w:spacing w:val="-6"/>
          <w:sz w:val="24"/>
          <w:szCs w:val="24"/>
        </w:rPr>
        <w:t>6. Priemonių, numatytų neigiamam poveikiui aplinkai išvengti, sumažinti, kompensuoti ar jo pasekmėms likviduoti, aprašymas</w:t>
      </w:r>
    </w:p>
    <w:p w:rsidR="008E61EF" w:rsidRPr="008E61EF" w:rsidRDefault="008E61EF" w:rsidP="008E61EF">
      <w:pPr>
        <w:autoSpaceDE w:val="0"/>
        <w:autoSpaceDN w:val="0"/>
        <w:adjustRightInd w:val="0"/>
        <w:spacing w:after="0" w:line="240" w:lineRule="auto"/>
        <w:ind w:firstLine="680"/>
        <w:jc w:val="both"/>
        <w:rPr>
          <w:rFonts w:ascii="Times New Roman" w:eastAsia="Times New Roman" w:hAnsi="Times New Roman" w:cs="Times New Roman"/>
          <w:spacing w:val="-6"/>
          <w:sz w:val="24"/>
          <w:szCs w:val="24"/>
        </w:rPr>
      </w:pPr>
      <w:r w:rsidRPr="008E61EF">
        <w:rPr>
          <w:rFonts w:ascii="Times New Roman" w:eastAsia="Times New Roman" w:hAnsi="Times New Roman" w:cs="Times New Roman"/>
          <w:spacing w:val="-6"/>
          <w:sz w:val="24"/>
          <w:szCs w:val="24"/>
        </w:rPr>
        <w:t>6.1. Siekiant išsaugoti derlingąjį dirvožemio sluoksnį, PAV ataskaitoje numatyta prieš naudingųjų iškasenų gavybą dirvožemį sustumti į pylimus ir juos apsėti žolių mišiniu, o vykdant rekultivacijos darbus – paskleisti ant nulėkštintų iškasos šlaitų.</w:t>
      </w:r>
    </w:p>
    <w:p w:rsidR="008E61EF" w:rsidRPr="008E61EF" w:rsidRDefault="008E61EF" w:rsidP="008E61EF">
      <w:pPr>
        <w:autoSpaceDE w:val="0"/>
        <w:autoSpaceDN w:val="0"/>
        <w:adjustRightInd w:val="0"/>
        <w:spacing w:after="0" w:line="240" w:lineRule="auto"/>
        <w:ind w:firstLine="680"/>
        <w:jc w:val="both"/>
        <w:rPr>
          <w:rFonts w:ascii="Times New Roman" w:eastAsia="Times New Roman" w:hAnsi="Times New Roman" w:cs="Times New Roman"/>
          <w:spacing w:val="-6"/>
          <w:sz w:val="24"/>
          <w:szCs w:val="24"/>
        </w:rPr>
      </w:pPr>
      <w:r w:rsidRPr="008E61EF">
        <w:rPr>
          <w:rFonts w:ascii="Times New Roman" w:eastAsia="Times New Roman" w:hAnsi="Times New Roman" w:cs="Times New Roman"/>
          <w:spacing w:val="-6"/>
          <w:sz w:val="24"/>
          <w:szCs w:val="24"/>
        </w:rPr>
        <w:t>6.2. Siekiant sumažinti PŪV poveikį visuomenės sveikatai, PAV ataskaitoje numatyta prieš pradedant gavybos darbus, iš dangos nuogulų suformuoti apsauginius 3,0 m aukščio pylimus planuojamų naudoti plotų išoriniu perimetru.</w:t>
      </w:r>
    </w:p>
    <w:p w:rsidR="008E61EF" w:rsidRPr="008E61EF" w:rsidRDefault="008E61EF" w:rsidP="008E61EF">
      <w:pPr>
        <w:autoSpaceDE w:val="0"/>
        <w:autoSpaceDN w:val="0"/>
        <w:adjustRightInd w:val="0"/>
        <w:spacing w:after="0" w:line="240" w:lineRule="auto"/>
        <w:ind w:firstLine="680"/>
        <w:jc w:val="both"/>
        <w:rPr>
          <w:rFonts w:ascii="Times New Roman" w:eastAsia="Times New Roman" w:hAnsi="Times New Roman" w:cs="Times New Roman"/>
          <w:spacing w:val="-6"/>
          <w:sz w:val="24"/>
          <w:szCs w:val="24"/>
        </w:rPr>
      </w:pPr>
      <w:r w:rsidRPr="008E61EF">
        <w:rPr>
          <w:rFonts w:ascii="Times New Roman" w:eastAsia="Times New Roman" w:hAnsi="Times New Roman" w:cs="Times New Roman"/>
          <w:spacing w:val="-6"/>
          <w:sz w:val="24"/>
          <w:szCs w:val="24"/>
        </w:rPr>
        <w:t>6.3. Siekiant kompensuoti dėl kasybos susidariusius reljefo pakitimus, PAV ataskaitoje numatyta, kad baigus naudingųjų iškasenų gavybą bus suformuotas vienas didelis rekreacijai tinkantis vandens telkinys, o rekultivuoti karjero šlaitai apsodinti mišku.</w:t>
      </w:r>
    </w:p>
    <w:p w:rsidR="008E61EF" w:rsidRPr="005C0978" w:rsidRDefault="008E61EF" w:rsidP="008E61E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5C0978">
        <w:rPr>
          <w:rFonts w:ascii="Times New Roman" w:eastAsia="Times New Roman" w:hAnsi="Times New Roman" w:cs="Times New Roman"/>
          <w:spacing w:val="-6"/>
          <w:sz w:val="24"/>
          <w:szCs w:val="24"/>
        </w:rPr>
        <w:t xml:space="preserve">6.4. Siekiant kompensuoti PŪV poveikį biologinei įvairovei, PAV ataskaitoje numatyta, kad baigus naudingųjų iškasenų gavybą pagal tyrimų pagrindu paruoštą planą bus sukuriama formuotam vandens telkiniui būdinga ekosistema – iš apylinkėse esamo genofondo atkuriamos ar </w:t>
      </w:r>
      <w:proofErr w:type="spellStart"/>
      <w:r w:rsidRPr="005C0978">
        <w:rPr>
          <w:rFonts w:ascii="Times New Roman" w:eastAsia="Times New Roman" w:hAnsi="Times New Roman" w:cs="Times New Roman"/>
          <w:spacing w:val="-6"/>
          <w:sz w:val="24"/>
          <w:szCs w:val="24"/>
        </w:rPr>
        <w:t>introdukuojamos</w:t>
      </w:r>
      <w:proofErr w:type="spellEnd"/>
      <w:r w:rsidRPr="005C0978">
        <w:rPr>
          <w:rFonts w:ascii="Times New Roman" w:eastAsia="Times New Roman" w:hAnsi="Times New Roman" w:cs="Times New Roman"/>
          <w:spacing w:val="-6"/>
          <w:sz w:val="24"/>
          <w:szCs w:val="24"/>
        </w:rPr>
        <w:t xml:space="preserve"> reikiamos </w:t>
      </w:r>
      <w:proofErr w:type="spellStart"/>
      <w:r w:rsidRPr="005C0978">
        <w:rPr>
          <w:rFonts w:ascii="Times New Roman" w:eastAsia="Times New Roman" w:hAnsi="Times New Roman" w:cs="Times New Roman"/>
          <w:spacing w:val="-6"/>
          <w:sz w:val="24"/>
          <w:szCs w:val="24"/>
        </w:rPr>
        <w:t>hidrobiontų</w:t>
      </w:r>
      <w:proofErr w:type="spellEnd"/>
      <w:r w:rsidRPr="005C0978">
        <w:rPr>
          <w:rFonts w:ascii="Times New Roman" w:eastAsia="Times New Roman" w:hAnsi="Times New Roman" w:cs="Times New Roman"/>
          <w:spacing w:val="-6"/>
          <w:sz w:val="24"/>
          <w:szCs w:val="24"/>
        </w:rPr>
        <w:t xml:space="preserve"> rūšys ir subalansuojami jų kiekiai.</w:t>
      </w:r>
    </w:p>
    <w:p w:rsidR="004A5361" w:rsidRPr="005C0978" w:rsidRDefault="004A5361" w:rsidP="008E61E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color w:val="000000"/>
          <w:sz w:val="24"/>
          <w:szCs w:val="24"/>
          <w:lang w:eastAsia="lt-LT"/>
        </w:rPr>
      </w:pPr>
      <w:r w:rsidRPr="005C0978">
        <w:rPr>
          <w:rFonts w:ascii="Times New Roman" w:eastAsia="Times New Roman" w:hAnsi="Times New Roman" w:cs="Times New Roman"/>
          <w:b/>
          <w:color w:val="000000"/>
          <w:sz w:val="24"/>
          <w:szCs w:val="24"/>
          <w:lang w:eastAsia="lt-LT"/>
        </w:rPr>
        <w:t>6</w:t>
      </w:r>
      <w:r w:rsidRPr="005C0978">
        <w:rPr>
          <w:rFonts w:ascii="Times New Roman" w:eastAsia="Times New Roman" w:hAnsi="Times New Roman" w:cs="Times New Roman"/>
          <w:b/>
          <w:color w:val="000000"/>
          <w:sz w:val="24"/>
          <w:szCs w:val="24"/>
          <w:vertAlign w:val="superscript"/>
          <w:lang w:eastAsia="lt-LT"/>
        </w:rPr>
        <w:t>1</w:t>
      </w:r>
      <w:r w:rsidRPr="005C0978">
        <w:rPr>
          <w:rFonts w:ascii="Times New Roman" w:eastAsia="Times New Roman" w:hAnsi="Times New Roman" w:cs="Times New Roman"/>
          <w:b/>
          <w:color w:val="000000"/>
          <w:sz w:val="24"/>
          <w:szCs w:val="24"/>
          <w:lang w:eastAsia="lt-LT"/>
        </w:rPr>
        <w:t>.</w:t>
      </w:r>
      <w:r w:rsidRPr="005C0978">
        <w:rPr>
          <w:rFonts w:ascii="Times New Roman" w:eastAsia="Times New Roman" w:hAnsi="Times New Roman" w:cs="Times New Roman"/>
          <w:color w:val="000000"/>
          <w:sz w:val="24"/>
          <w:szCs w:val="24"/>
          <w:lang w:eastAsia="lt-LT"/>
        </w:rPr>
        <w:t xml:space="preserve"> </w:t>
      </w:r>
      <w:r w:rsidRPr="005C0978">
        <w:rPr>
          <w:rFonts w:ascii="Times New Roman" w:eastAsia="Times New Roman" w:hAnsi="Times New Roman" w:cs="Times New Roman"/>
          <w:b/>
          <w:color w:val="000000"/>
          <w:sz w:val="24"/>
          <w:szCs w:val="24"/>
          <w:lang w:eastAsia="lt-LT"/>
        </w:rPr>
        <w:t>Planuojamos ūkinės veiklos poveikio Europos ekologinio tinklo „</w:t>
      </w:r>
      <w:proofErr w:type="spellStart"/>
      <w:r w:rsidRPr="005C0978">
        <w:rPr>
          <w:rFonts w:ascii="Times New Roman" w:eastAsia="Times New Roman" w:hAnsi="Times New Roman" w:cs="Times New Roman"/>
          <w:b/>
          <w:color w:val="000000"/>
          <w:sz w:val="24"/>
          <w:szCs w:val="24"/>
          <w:lang w:eastAsia="lt-LT"/>
        </w:rPr>
        <w:t>Natura</w:t>
      </w:r>
      <w:proofErr w:type="spellEnd"/>
      <w:r w:rsidRPr="005C0978">
        <w:rPr>
          <w:rFonts w:ascii="Times New Roman" w:eastAsia="Times New Roman" w:hAnsi="Times New Roman" w:cs="Times New Roman"/>
          <w:b/>
          <w:color w:val="000000"/>
          <w:sz w:val="24"/>
          <w:szCs w:val="24"/>
          <w:lang w:eastAsia="lt-LT"/>
        </w:rPr>
        <w:t xml:space="preserve"> 2000“ teritorijoms reikšmingumas</w:t>
      </w:r>
    </w:p>
    <w:p w:rsidR="002C4CCA" w:rsidRPr="002C4CCA" w:rsidRDefault="002C4CCA" w:rsidP="002C4CCA">
      <w:pPr>
        <w:autoSpaceDE w:val="0"/>
        <w:autoSpaceDN w:val="0"/>
        <w:adjustRightInd w:val="0"/>
        <w:spacing w:after="0" w:line="240" w:lineRule="auto"/>
        <w:ind w:firstLine="680"/>
        <w:jc w:val="both"/>
        <w:rPr>
          <w:rFonts w:ascii="Times New Roman" w:eastAsia="Times New Roman" w:hAnsi="Times New Roman" w:cs="Times New Roman"/>
          <w:color w:val="000000"/>
          <w:sz w:val="24"/>
          <w:szCs w:val="24"/>
          <w:lang w:eastAsia="lt-LT"/>
        </w:rPr>
      </w:pPr>
      <w:r w:rsidRPr="002C4CCA">
        <w:rPr>
          <w:rFonts w:ascii="Times New Roman" w:eastAsia="Times New Roman" w:hAnsi="Times New Roman" w:cs="Times New Roman"/>
          <w:color w:val="000000"/>
          <w:sz w:val="24"/>
          <w:szCs w:val="24"/>
          <w:lang w:eastAsia="lt-LT"/>
        </w:rPr>
        <w:t>PŪV nesusijusi su Europos ekologinio tinklo „</w:t>
      </w:r>
      <w:proofErr w:type="spellStart"/>
      <w:r w:rsidRPr="002C4CCA">
        <w:rPr>
          <w:rFonts w:ascii="Times New Roman" w:eastAsia="Times New Roman" w:hAnsi="Times New Roman" w:cs="Times New Roman"/>
          <w:color w:val="000000"/>
          <w:sz w:val="24"/>
          <w:szCs w:val="24"/>
          <w:lang w:eastAsia="lt-LT"/>
        </w:rPr>
        <w:t>Natura</w:t>
      </w:r>
      <w:proofErr w:type="spellEnd"/>
      <w:r w:rsidRPr="002C4CCA">
        <w:rPr>
          <w:rFonts w:ascii="Times New Roman" w:eastAsia="Times New Roman" w:hAnsi="Times New Roman" w:cs="Times New Roman"/>
          <w:color w:val="000000"/>
          <w:sz w:val="24"/>
          <w:szCs w:val="24"/>
          <w:lang w:eastAsia="lt-LT"/>
        </w:rPr>
        <w:t xml:space="preserve"> 2000“ teritorijomis bei artima jų aplinka, kadangi PŪV vieta nuo artimiausios buveinių apsaugai svarbios teritorijos (toliau – BAST) ir paukščių apsaugai svarbios teritorijos (toliau – PAST) – Dainavos giria (ES kodai LTVAR0017; LTVARB005 ) yra nutolusi apie 11 km atstumu. Tarp PŪV vietos ir BAST bei PAST yra vietinės reikšmės keliai ir miškai. Dėl šių priežasčių poveikio Europos ekologinio tinklo „</w:t>
      </w:r>
      <w:proofErr w:type="spellStart"/>
      <w:r w:rsidRPr="002C4CCA">
        <w:rPr>
          <w:rFonts w:ascii="Times New Roman" w:eastAsia="Times New Roman" w:hAnsi="Times New Roman" w:cs="Times New Roman"/>
          <w:color w:val="000000"/>
          <w:sz w:val="24"/>
          <w:szCs w:val="24"/>
          <w:lang w:eastAsia="lt-LT"/>
        </w:rPr>
        <w:t>Natura</w:t>
      </w:r>
      <w:proofErr w:type="spellEnd"/>
      <w:r w:rsidRPr="002C4CCA">
        <w:rPr>
          <w:rFonts w:ascii="Times New Roman" w:eastAsia="Times New Roman" w:hAnsi="Times New Roman" w:cs="Times New Roman"/>
          <w:color w:val="000000"/>
          <w:sz w:val="24"/>
          <w:szCs w:val="24"/>
          <w:lang w:eastAsia="lt-LT"/>
        </w:rPr>
        <w:t xml:space="preserve"> 2000“ teritorijos dėl PŪV neturės.</w:t>
      </w:r>
    </w:p>
    <w:p w:rsidR="004A5361" w:rsidRPr="005C0978" w:rsidRDefault="004A5361" w:rsidP="004A5361">
      <w:pPr>
        <w:autoSpaceDE w:val="0"/>
        <w:autoSpaceDN w:val="0"/>
        <w:adjustRightInd w:val="0"/>
        <w:spacing w:after="0" w:line="240" w:lineRule="auto"/>
        <w:ind w:firstLine="680"/>
        <w:rPr>
          <w:rFonts w:ascii="Times New Roman" w:eastAsia="Times New Roman" w:hAnsi="Times New Roman" w:cs="Times New Roman"/>
          <w:sz w:val="24"/>
          <w:szCs w:val="24"/>
        </w:rPr>
      </w:pPr>
      <w:r w:rsidRPr="005C0978">
        <w:rPr>
          <w:rFonts w:ascii="Times New Roman" w:eastAsia="Times New Roman" w:hAnsi="Times New Roman" w:cs="Times New Roman"/>
          <w:b/>
          <w:sz w:val="24"/>
          <w:szCs w:val="24"/>
        </w:rPr>
        <w:t>7. Pateiktos poveikio aplinkai vertinimo subjektų išvados</w:t>
      </w:r>
    </w:p>
    <w:p w:rsidR="007A1E1F" w:rsidRPr="007A1E1F" w:rsidRDefault="007A1E1F" w:rsidP="007A1E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7A1E1F">
        <w:rPr>
          <w:rFonts w:ascii="Times New Roman" w:eastAsia="Times New Roman" w:hAnsi="Times New Roman" w:cs="Times New Roman"/>
          <w:sz w:val="24"/>
          <w:szCs w:val="24"/>
          <w:lang w:eastAsia="lt-LT"/>
        </w:rPr>
        <w:t xml:space="preserve">7.1. Alytaus visuomenės sveikatos centras 2012-12-10 raštu Nr. R1-1885 „Dėl Alytaus rajono savivaldybės </w:t>
      </w:r>
      <w:proofErr w:type="spellStart"/>
      <w:r w:rsidRPr="007A1E1F">
        <w:rPr>
          <w:rFonts w:ascii="Times New Roman" w:eastAsia="Times New Roman" w:hAnsi="Times New Roman" w:cs="Times New Roman"/>
          <w:sz w:val="24"/>
          <w:szCs w:val="24"/>
          <w:lang w:eastAsia="lt-LT"/>
        </w:rPr>
        <w:t>Bogušiškių</w:t>
      </w:r>
      <w:proofErr w:type="spellEnd"/>
      <w:r w:rsidRPr="007A1E1F">
        <w:rPr>
          <w:rFonts w:ascii="Times New Roman" w:eastAsia="Times New Roman" w:hAnsi="Times New Roman" w:cs="Times New Roman"/>
          <w:sz w:val="24"/>
          <w:szCs w:val="24"/>
          <w:lang w:eastAsia="lt-LT"/>
        </w:rPr>
        <w:t xml:space="preserve"> II žvyro ir smėlio telkinio naujų plotų naudojimo poveikio aplinkai vertinimo programos derinimo“ pritarė poveikio aplinkai vertinimo (toliau – PAV) programai.</w:t>
      </w:r>
    </w:p>
    <w:p w:rsidR="007A1E1F" w:rsidRPr="007A1E1F" w:rsidRDefault="007A1E1F" w:rsidP="007A1E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7A1E1F">
        <w:rPr>
          <w:rFonts w:ascii="Times New Roman" w:eastAsia="Times New Roman" w:hAnsi="Times New Roman" w:cs="Times New Roman"/>
          <w:sz w:val="24"/>
          <w:szCs w:val="24"/>
          <w:lang w:eastAsia="lt-LT"/>
        </w:rPr>
        <w:t xml:space="preserve">Nacionalinio visuomenės sveikatos centro prie Sveikatos apsaugos ministerijos Alytaus departamentas 2016-04-12 raštu Nr. 2.1-49 „Dėl Alytaus rajono savivaldybės </w:t>
      </w:r>
      <w:proofErr w:type="spellStart"/>
      <w:r w:rsidRPr="007A1E1F">
        <w:rPr>
          <w:rFonts w:ascii="Times New Roman" w:eastAsia="Times New Roman" w:hAnsi="Times New Roman" w:cs="Times New Roman"/>
          <w:sz w:val="24"/>
          <w:szCs w:val="24"/>
          <w:lang w:eastAsia="lt-LT"/>
        </w:rPr>
        <w:t>Bogušiškių</w:t>
      </w:r>
      <w:proofErr w:type="spellEnd"/>
      <w:r w:rsidRPr="007A1E1F">
        <w:rPr>
          <w:rFonts w:ascii="Times New Roman" w:eastAsia="Times New Roman" w:hAnsi="Times New Roman" w:cs="Times New Roman"/>
          <w:sz w:val="24"/>
          <w:szCs w:val="24"/>
          <w:lang w:eastAsia="lt-LT"/>
        </w:rPr>
        <w:t xml:space="preserve"> II žvyro ir smėlio telkinio naujų plotų naudojimo poveikio aplinkai vertinimo ataskaitos“ pritarė PAV ataskaitai ir planuojamai ūkinei veiklai.</w:t>
      </w:r>
    </w:p>
    <w:p w:rsidR="007A1E1F" w:rsidRPr="007A1E1F" w:rsidRDefault="007A1E1F" w:rsidP="007A1E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7A1E1F">
        <w:rPr>
          <w:rFonts w:ascii="Times New Roman" w:eastAsia="Times New Roman" w:hAnsi="Times New Roman" w:cs="Times New Roman"/>
          <w:sz w:val="24"/>
          <w:szCs w:val="24"/>
          <w:lang w:eastAsia="lt-LT"/>
        </w:rPr>
        <w:t xml:space="preserve">7.2. Alytaus rajono savivaldybės administracija 2012-12-27 raštu Nr. (319)K26-5191 „Dėl Alytaus rajono savivaldybės </w:t>
      </w:r>
      <w:proofErr w:type="spellStart"/>
      <w:r w:rsidRPr="007A1E1F">
        <w:rPr>
          <w:rFonts w:ascii="Times New Roman" w:eastAsia="Times New Roman" w:hAnsi="Times New Roman" w:cs="Times New Roman"/>
          <w:sz w:val="24"/>
          <w:szCs w:val="24"/>
          <w:lang w:eastAsia="lt-LT"/>
        </w:rPr>
        <w:t>Bogušiškių</w:t>
      </w:r>
      <w:proofErr w:type="spellEnd"/>
      <w:r w:rsidRPr="007A1E1F">
        <w:rPr>
          <w:rFonts w:ascii="Times New Roman" w:eastAsia="Times New Roman" w:hAnsi="Times New Roman" w:cs="Times New Roman"/>
          <w:sz w:val="24"/>
          <w:szCs w:val="24"/>
          <w:lang w:eastAsia="lt-LT"/>
        </w:rPr>
        <w:t xml:space="preserve"> II žvyro ir smėlio telkinio naujų plotų naudojimo poveikio aplinkai vertinimo programos derinimo“ suderino PAV programą.</w:t>
      </w:r>
    </w:p>
    <w:p w:rsidR="007A1E1F" w:rsidRPr="007A1E1F" w:rsidRDefault="007A1E1F" w:rsidP="007A1E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7A1E1F">
        <w:rPr>
          <w:rFonts w:ascii="Times New Roman" w:eastAsia="Times New Roman" w:hAnsi="Times New Roman" w:cs="Times New Roman"/>
          <w:sz w:val="24"/>
          <w:szCs w:val="24"/>
          <w:lang w:eastAsia="lt-LT"/>
        </w:rPr>
        <w:t xml:space="preserve">Alytaus rajono savivaldybės administracija 2016-04-25 raštu Nr. (3.19)K26-1151  „Dėl Alytaus rajono savivaldybės </w:t>
      </w:r>
      <w:proofErr w:type="spellStart"/>
      <w:r w:rsidRPr="007A1E1F">
        <w:rPr>
          <w:rFonts w:ascii="Times New Roman" w:eastAsia="Times New Roman" w:hAnsi="Times New Roman" w:cs="Times New Roman"/>
          <w:sz w:val="24"/>
          <w:szCs w:val="24"/>
          <w:lang w:eastAsia="lt-LT"/>
        </w:rPr>
        <w:t>Bogušiškių</w:t>
      </w:r>
      <w:proofErr w:type="spellEnd"/>
      <w:r w:rsidRPr="007A1E1F">
        <w:rPr>
          <w:rFonts w:ascii="Times New Roman" w:eastAsia="Times New Roman" w:hAnsi="Times New Roman" w:cs="Times New Roman"/>
          <w:sz w:val="24"/>
          <w:szCs w:val="24"/>
          <w:lang w:eastAsia="lt-LT"/>
        </w:rPr>
        <w:t xml:space="preserve"> II žvyro ir smėlio telkinio naujų plotų naudojimo poveikio aplinkai vertinimo ataskaitos derinimo“  pritarė PAV ataskaitai.</w:t>
      </w:r>
    </w:p>
    <w:p w:rsidR="007A1E1F" w:rsidRPr="007A1E1F" w:rsidRDefault="007A1E1F" w:rsidP="007A1E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7A1E1F">
        <w:rPr>
          <w:rFonts w:ascii="Times New Roman" w:eastAsia="Times New Roman" w:hAnsi="Times New Roman" w:cs="Times New Roman"/>
          <w:sz w:val="24"/>
          <w:szCs w:val="24"/>
          <w:lang w:eastAsia="lt-LT"/>
        </w:rPr>
        <w:t xml:space="preserve">7.3. Alytaus apskrities priešgaisrinės gelbėjimo valdyba 2012-12-03 raštu Nr. 3S-1381(8.9) „Dėl Alytaus rajono savivaldybės </w:t>
      </w:r>
      <w:proofErr w:type="spellStart"/>
      <w:r w:rsidRPr="007A1E1F">
        <w:rPr>
          <w:rFonts w:ascii="Times New Roman" w:eastAsia="Times New Roman" w:hAnsi="Times New Roman" w:cs="Times New Roman"/>
          <w:sz w:val="24"/>
          <w:szCs w:val="24"/>
          <w:lang w:eastAsia="lt-LT"/>
        </w:rPr>
        <w:t>Bogušiškių</w:t>
      </w:r>
      <w:proofErr w:type="spellEnd"/>
      <w:r w:rsidRPr="007A1E1F">
        <w:rPr>
          <w:rFonts w:ascii="Times New Roman" w:eastAsia="Times New Roman" w:hAnsi="Times New Roman" w:cs="Times New Roman"/>
          <w:sz w:val="24"/>
          <w:szCs w:val="24"/>
          <w:lang w:eastAsia="lt-LT"/>
        </w:rPr>
        <w:t xml:space="preserve"> II žvyro ir smėlio telkinio naujų plotų naudojimo poveikio aplinkai vertinimo programos“ informavo, kad neprieštarauja parengtai PAV programai ir PAV ataskaitos nagrinėti nepageidauja.</w:t>
      </w:r>
    </w:p>
    <w:p w:rsidR="007A1E1F" w:rsidRPr="007A1E1F" w:rsidRDefault="007A1E1F" w:rsidP="007A1E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7A1E1F">
        <w:rPr>
          <w:rFonts w:ascii="Times New Roman" w:eastAsia="Times New Roman" w:hAnsi="Times New Roman" w:cs="Times New Roman"/>
          <w:sz w:val="24"/>
          <w:szCs w:val="24"/>
          <w:lang w:eastAsia="lt-LT"/>
        </w:rPr>
        <w:lastRenderedPageBreak/>
        <w:t xml:space="preserve">7.4. Kultūros paveldo departamento prie Kultūros ministerijos Alytaus teritorinis padalinys 2012-12-10 raštu Nr. 2A-568 „Dėl Alytaus rajono savivaldybės </w:t>
      </w:r>
      <w:proofErr w:type="spellStart"/>
      <w:r w:rsidRPr="007A1E1F">
        <w:rPr>
          <w:rFonts w:ascii="Times New Roman" w:eastAsia="Times New Roman" w:hAnsi="Times New Roman" w:cs="Times New Roman"/>
          <w:sz w:val="24"/>
          <w:szCs w:val="24"/>
          <w:lang w:eastAsia="lt-LT"/>
        </w:rPr>
        <w:t>Bogušiškių</w:t>
      </w:r>
      <w:proofErr w:type="spellEnd"/>
      <w:r w:rsidRPr="007A1E1F">
        <w:rPr>
          <w:rFonts w:ascii="Times New Roman" w:eastAsia="Times New Roman" w:hAnsi="Times New Roman" w:cs="Times New Roman"/>
          <w:sz w:val="24"/>
          <w:szCs w:val="24"/>
          <w:lang w:eastAsia="lt-LT"/>
        </w:rPr>
        <w:t xml:space="preserve"> II žvyro ir smėlio telkinio naujų plotų naudojimo poveikio aplinkai vertinimo programos“ pritarė PAV programai ir informavo, kad PAV ataskaitos nagrinėti nepageidauja.</w:t>
      </w:r>
    </w:p>
    <w:p w:rsidR="007A1E1F" w:rsidRPr="007A1E1F" w:rsidRDefault="007A1E1F" w:rsidP="007A1E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7A1E1F">
        <w:rPr>
          <w:rFonts w:ascii="Times New Roman" w:eastAsia="Times New Roman" w:hAnsi="Times New Roman" w:cs="Times New Roman"/>
          <w:sz w:val="24"/>
          <w:szCs w:val="24"/>
          <w:lang w:eastAsia="lt-LT"/>
        </w:rPr>
        <w:t>7.5. Aplinkos apsaugos agentūra 2014-01-28 raštu Nr. (2.6)-A4-418 „Dėl poveikio aplinkai vertinimo programos“ PAV programą patvirtino.</w:t>
      </w:r>
    </w:p>
    <w:p w:rsidR="007A1E1F" w:rsidRPr="007A1E1F" w:rsidRDefault="007A1E1F" w:rsidP="007A1E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7A1E1F">
        <w:rPr>
          <w:rFonts w:ascii="Times New Roman" w:eastAsia="Times New Roman" w:hAnsi="Times New Roman" w:cs="Times New Roman"/>
          <w:sz w:val="24"/>
          <w:szCs w:val="24"/>
          <w:lang w:eastAsia="lt-LT"/>
        </w:rPr>
        <w:t xml:space="preserve">7.6. Lietuvos geologijos tarnyba prie Aplinkos ministerijos 2016-12-28 raštu Nr. (7)-1.7-4808 „Dėl </w:t>
      </w:r>
      <w:proofErr w:type="spellStart"/>
      <w:r w:rsidRPr="007A1E1F">
        <w:rPr>
          <w:rFonts w:ascii="Times New Roman" w:eastAsia="Times New Roman" w:hAnsi="Times New Roman" w:cs="Times New Roman"/>
          <w:sz w:val="24"/>
          <w:szCs w:val="24"/>
          <w:lang w:eastAsia="lt-LT"/>
        </w:rPr>
        <w:t>Bogušiškių</w:t>
      </w:r>
      <w:proofErr w:type="spellEnd"/>
      <w:r w:rsidRPr="007A1E1F">
        <w:rPr>
          <w:rFonts w:ascii="Times New Roman" w:eastAsia="Times New Roman" w:hAnsi="Times New Roman" w:cs="Times New Roman"/>
          <w:sz w:val="24"/>
          <w:szCs w:val="24"/>
          <w:lang w:eastAsia="lt-LT"/>
        </w:rPr>
        <w:t xml:space="preserve"> II telkinio PAV ataskaitos“ nurodė, kad pritaria PAV ataskaitos išvadoms ir siūlo jų pagrindu priimti teigiamą sprendimą dėl planuojamos ūkinės veiklos pasirinktoje vietoje“.</w:t>
      </w:r>
    </w:p>
    <w:p w:rsidR="004A5361" w:rsidRPr="005C0978" w:rsidRDefault="004A5361" w:rsidP="004A5361">
      <w:pPr>
        <w:suppressAutoHyphens/>
        <w:autoSpaceDE w:val="0"/>
        <w:autoSpaceDN w:val="0"/>
        <w:adjustRightInd w:val="0"/>
        <w:spacing w:after="0" w:line="240" w:lineRule="auto"/>
        <w:ind w:left="720"/>
        <w:jc w:val="both"/>
        <w:textAlignment w:val="center"/>
        <w:rPr>
          <w:rFonts w:ascii="Times New Roman" w:eastAsia="Times New Roman" w:hAnsi="Times New Roman" w:cs="Times New Roman"/>
          <w:b/>
          <w:color w:val="000000"/>
          <w:sz w:val="24"/>
          <w:szCs w:val="24"/>
          <w:lang w:eastAsia="lt-LT"/>
        </w:rPr>
      </w:pPr>
      <w:r w:rsidRPr="005C0978">
        <w:rPr>
          <w:rFonts w:ascii="Times New Roman" w:eastAsia="Times New Roman" w:hAnsi="Times New Roman" w:cs="Times New Roman"/>
          <w:b/>
          <w:color w:val="000000"/>
          <w:sz w:val="24"/>
          <w:szCs w:val="24"/>
          <w:lang w:eastAsia="lt-LT"/>
        </w:rPr>
        <w:t>8. Visuomenės informavimas ir dalyvavimas</w:t>
      </w:r>
    </w:p>
    <w:p w:rsidR="00FD6A64" w:rsidRPr="00FD6A64" w:rsidRDefault="00FD6A64" w:rsidP="00FD6A64">
      <w:pPr>
        <w:spacing w:before="20" w:after="20" w:line="240" w:lineRule="auto"/>
        <w:ind w:firstLine="709"/>
        <w:jc w:val="both"/>
        <w:rPr>
          <w:rFonts w:ascii="Times New Roman" w:eastAsia="Times New Roman" w:hAnsi="Times New Roman" w:cs="Times New Roman"/>
          <w:sz w:val="24"/>
          <w:szCs w:val="24"/>
          <w:lang w:eastAsia="lt-LT"/>
        </w:rPr>
      </w:pPr>
      <w:r w:rsidRPr="00FD6A64">
        <w:rPr>
          <w:rFonts w:ascii="Times New Roman" w:eastAsia="Times New Roman" w:hAnsi="Times New Roman" w:cs="Times New Roman"/>
          <w:sz w:val="24"/>
          <w:szCs w:val="24"/>
          <w:lang w:eastAsia="lt-LT"/>
        </w:rPr>
        <w:t xml:space="preserve">Visuomenė apie parengtą PAV programą buvo informuota Alytaus rajono savivaldybės administracijos Daugų seniūnijos (2012-11-30) skelbimų lentoje, laikraščiuose „Lietuvos žinios“ (2012-11-30) ir „Alytaus naujienos“ (2012-11-30), Aplinkos apsaugos agentūros </w:t>
      </w:r>
      <w:r w:rsidRPr="00FD6A64">
        <w:rPr>
          <w:rFonts w:ascii="Times New Roman" w:eastAsia="Times New Roman" w:hAnsi="Times New Roman" w:cs="Times New Roman"/>
          <w:sz w:val="24"/>
          <w:szCs w:val="24"/>
          <w:shd w:val="clear" w:color="auto" w:fill="FFFFFF"/>
          <w:lang w:eastAsia="lt-LT"/>
        </w:rPr>
        <w:t>tinklalapyje (2012-12-03).</w:t>
      </w:r>
    </w:p>
    <w:p w:rsidR="00FD6A64" w:rsidRPr="00FD6A64" w:rsidRDefault="00FD6A64" w:rsidP="00FD6A64">
      <w:pPr>
        <w:spacing w:before="20" w:after="20" w:line="240" w:lineRule="auto"/>
        <w:ind w:firstLine="709"/>
        <w:jc w:val="both"/>
        <w:rPr>
          <w:rFonts w:ascii="Times New Roman" w:eastAsia="Times New Roman" w:hAnsi="Times New Roman" w:cs="Times New Roman"/>
          <w:sz w:val="24"/>
          <w:szCs w:val="24"/>
          <w:lang w:eastAsia="lt-LT"/>
        </w:rPr>
      </w:pPr>
      <w:r w:rsidRPr="00FD6A64">
        <w:rPr>
          <w:rFonts w:ascii="Times New Roman" w:eastAsia="Times New Roman" w:hAnsi="Times New Roman" w:cs="Times New Roman"/>
          <w:sz w:val="24"/>
          <w:szCs w:val="24"/>
          <w:lang w:eastAsia="lt-LT"/>
        </w:rPr>
        <w:t>Informacija apie visuomenės viešą supažindinimą su PAV ataskaita buvo skelbiama Alytaus rajono savivaldybės administracijos Daugų seniūnijos skelbimų lentoje (2016-02-18); laikraščiuose „Lietuvos žinios“ (2016-02-18) ir „Alytaus naujienos“ (2016-02-18). Su PAV ataskaita sudarytos galimybės susipažinti Alytaus rajono savivaldybės administracijos Daugų seniūnijos, PAV dokumentų rengėjo ir planuojamos ūkinės veiklos užsakovo patalpose. Susirinkimas su visuomene dėl PAV ataskaitos įvyko 2016-03-04 16.30val. Daugų seniūnijos patalpose, adresu S. Nėries g. 3, Daugai, Alytaus r. sav. Į viešą visuomenės supažindinimą su PAV ataskaita visuomenės atstovai neatvyko. PAV dokumentų rengėjas visuomenės pasiūlymų dėl planuojamos ūkinės veiklos negavo.</w:t>
      </w:r>
    </w:p>
    <w:p w:rsidR="00FD6A64" w:rsidRPr="00FD6A64" w:rsidRDefault="00FD6A64" w:rsidP="00FD6A64">
      <w:pPr>
        <w:suppressAutoHyphens/>
        <w:autoSpaceDE w:val="0"/>
        <w:autoSpaceDN w:val="0"/>
        <w:adjustRightInd w:val="0"/>
        <w:spacing w:after="0" w:line="240" w:lineRule="auto"/>
        <w:ind w:firstLine="680"/>
        <w:jc w:val="both"/>
        <w:textAlignment w:val="center"/>
        <w:rPr>
          <w:rFonts w:ascii="Times New Roman" w:eastAsia="Calibri" w:hAnsi="Times New Roman" w:cs="Times New Roman"/>
          <w:sz w:val="24"/>
          <w:szCs w:val="24"/>
        </w:rPr>
      </w:pPr>
      <w:r w:rsidRPr="00FD6A64">
        <w:rPr>
          <w:rFonts w:ascii="Times New Roman" w:eastAsia="Calibri" w:hAnsi="Times New Roman" w:cs="Times New Roman"/>
          <w:sz w:val="24"/>
          <w:szCs w:val="24"/>
        </w:rPr>
        <w:t xml:space="preserve">Atsižvelgiant į nustatytus viešo supažindinimo su PAV ataskaita pažeidimus (PAV ataskaita nepaskelbta PAV dokumentų rengėjo arba užsakovo interneto tinklalapyje ir nepateikta skelbimo apie viešą supažindinimą su PAV ataskaita kopija su Alytaus rajono savivaldybės administracijos žyma apie gavimo faktą ir datą), Aplinkos apsaugos agentūra 2017-01-10 raštu Nr. (28.1)-A4-286 „Dėl Alytaus rajono </w:t>
      </w:r>
      <w:proofErr w:type="spellStart"/>
      <w:r w:rsidRPr="00FD6A64">
        <w:rPr>
          <w:rFonts w:ascii="Times New Roman" w:eastAsia="Calibri" w:hAnsi="Times New Roman" w:cs="Times New Roman"/>
          <w:sz w:val="24"/>
          <w:szCs w:val="24"/>
        </w:rPr>
        <w:t>Bogušiškių</w:t>
      </w:r>
      <w:proofErr w:type="spellEnd"/>
      <w:r w:rsidRPr="00FD6A64">
        <w:rPr>
          <w:rFonts w:ascii="Times New Roman" w:eastAsia="Calibri" w:hAnsi="Times New Roman" w:cs="Times New Roman"/>
          <w:sz w:val="24"/>
          <w:szCs w:val="24"/>
        </w:rPr>
        <w:t xml:space="preserve"> II žvyro ir smėlio telkinio naujų plotų naudojimo poveikio aplinkai vertinimo ataskaitos“ PAV dokumentų rengėjui pateikė reikalavimą pakartoti visuomenės viešo supažindinimo su PAV ataskaitą procedūrą. Informacija apie pakartotiną visuomenės viešą supažindinimą su PAV ataskaita buvo skelbiama Alytaus rajono savivaldybės administracijos skelbimų lentoje (2017-05-19) ir Alytaus rajono savivaldybės administracijos Daugų seniūnijos skelbimų lentoje (2017-05-19); laikraščiuose „Lietuvos žinios“ (2017-05-20) ir „Alytaus naujienos“ (2017-05-20). Su PAV ataskaita sudarytos galimybės susipažinti Alytaus rajono savivaldybės administracijos Daugų seniūnijos ir planuojamos ūkinės veiklos užsakovo patalpose, tinklalapiuose </w:t>
      </w:r>
      <w:hyperlink r:id="rId6" w:history="1">
        <w:r w:rsidRPr="00FD6A64">
          <w:rPr>
            <w:rFonts w:ascii="Times New Roman" w:eastAsia="Calibri" w:hAnsi="Times New Roman" w:cs="Times New Roman"/>
            <w:color w:val="0563C1"/>
            <w:sz w:val="24"/>
            <w:szCs w:val="24"/>
            <w:u w:val="single"/>
          </w:rPr>
          <w:t>www.ecofirma.lt</w:t>
        </w:r>
      </w:hyperlink>
      <w:r w:rsidRPr="00FD6A64">
        <w:rPr>
          <w:rFonts w:ascii="Times New Roman" w:eastAsia="Calibri" w:hAnsi="Times New Roman" w:cs="Times New Roman"/>
          <w:sz w:val="24"/>
          <w:szCs w:val="24"/>
        </w:rPr>
        <w:t xml:space="preserve"> ir </w:t>
      </w:r>
      <w:hyperlink r:id="rId7" w:history="1">
        <w:r w:rsidRPr="00FD6A64">
          <w:rPr>
            <w:rFonts w:ascii="Times New Roman" w:eastAsia="Calibri" w:hAnsi="Times New Roman" w:cs="Times New Roman"/>
            <w:color w:val="0563C1"/>
            <w:sz w:val="24"/>
            <w:szCs w:val="24"/>
            <w:u w:val="single"/>
          </w:rPr>
          <w:t>www.alkesta.lt</w:t>
        </w:r>
      </w:hyperlink>
      <w:r w:rsidRPr="00FD6A64">
        <w:rPr>
          <w:rFonts w:ascii="Times New Roman" w:eastAsia="Calibri" w:hAnsi="Times New Roman" w:cs="Times New Roman"/>
          <w:sz w:val="24"/>
          <w:szCs w:val="24"/>
        </w:rPr>
        <w:t>. Pakartotinas susirinkimas su visuomene dėl PAV ataskaitos įvyko 2017-06-02 18.00 val. Daugų seniūnijos patalpose, adresu S. Nėries g. 3, Daugai, Alytaus r. sav. Į viešą visuomenės supažindinimą su PAV ataskaita visuomenės atstovai neatvyko. PAV dokumentų rengėjas visuomenės pasiūlymų dėl planuojamos ūkinės veiklos negavo.</w:t>
      </w:r>
    </w:p>
    <w:p w:rsidR="00FD6A64" w:rsidRPr="00FD6A64" w:rsidRDefault="00FD6A64" w:rsidP="00FD6A64">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FD6A64">
        <w:rPr>
          <w:rFonts w:ascii="Times New Roman" w:eastAsia="Times New Roman" w:hAnsi="Times New Roman" w:cs="Times New Roman"/>
          <w:color w:val="000000"/>
          <w:sz w:val="24"/>
          <w:szCs w:val="24"/>
          <w:lang w:eastAsia="lt-LT"/>
        </w:rPr>
        <w:t xml:space="preserve">Aplinkos apsaugos agentūra savo tinklalapyje </w:t>
      </w:r>
      <w:hyperlink r:id="rId8" w:history="1">
        <w:r w:rsidRPr="005C0978">
          <w:rPr>
            <w:rFonts w:ascii="Times New Roman" w:eastAsia="Times New Roman" w:hAnsi="Times New Roman" w:cs="Times New Roman"/>
            <w:color w:val="0000FF"/>
            <w:sz w:val="24"/>
            <w:szCs w:val="24"/>
            <w:u w:val="single"/>
            <w:lang w:eastAsia="lt-LT"/>
          </w:rPr>
          <w:t>www.gamta.lt</w:t>
        </w:r>
      </w:hyperlink>
      <w:r w:rsidRPr="00FD6A64">
        <w:rPr>
          <w:rFonts w:ascii="Times New Roman" w:eastAsia="Times New Roman" w:hAnsi="Times New Roman" w:cs="Times New Roman"/>
          <w:color w:val="000000"/>
          <w:sz w:val="24"/>
          <w:szCs w:val="24"/>
          <w:lang w:eastAsia="lt-LT"/>
        </w:rPr>
        <w:t xml:space="preserve"> visuomenei apie gautą PAV ataskaitą paskelbė 2016-12-16 ir 2017-06-22. Per nustatytą terminą pasiūlymų dėl PAV ataskaitos iš suinteresuotos visuomenės negauta. Iki sprendimo priėmimo PAV proceso dalyviai informacijos dėl galimų pažeidimų nustatant, apibūdinant ir įvertinant galimą PŪV poveikį aplinkai ar vykdant PAV procedūras nepateikė.</w:t>
      </w:r>
    </w:p>
    <w:p w:rsidR="008E128B" w:rsidRPr="005C0978" w:rsidRDefault="004A5361" w:rsidP="008E128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C0978">
        <w:rPr>
          <w:rFonts w:ascii="Times New Roman" w:eastAsia="Times New Roman" w:hAnsi="Times New Roman" w:cs="Times New Roman"/>
          <w:b/>
          <w:color w:val="000000"/>
          <w:sz w:val="24"/>
          <w:szCs w:val="24"/>
          <w:lang w:eastAsia="lt-LT"/>
        </w:rPr>
        <w:t xml:space="preserve">9. Tarpvalstybinės konsultacijos </w:t>
      </w:r>
      <w:r w:rsidRPr="005C0978">
        <w:rPr>
          <w:rFonts w:ascii="Times New Roman" w:eastAsia="Times New Roman" w:hAnsi="Times New Roman" w:cs="Times New Roman"/>
          <w:color w:val="000000"/>
          <w:sz w:val="24"/>
          <w:szCs w:val="24"/>
          <w:lang w:eastAsia="lt-LT"/>
        </w:rPr>
        <w:t xml:space="preserve">– </w:t>
      </w:r>
      <w:r w:rsidR="008E128B" w:rsidRPr="005C0978">
        <w:rPr>
          <w:rFonts w:ascii="Times New Roman" w:eastAsia="Times New Roman" w:hAnsi="Times New Roman" w:cs="Times New Roman"/>
          <w:color w:val="000000"/>
          <w:sz w:val="24"/>
          <w:szCs w:val="24"/>
          <w:lang w:eastAsia="lt-LT"/>
        </w:rPr>
        <w:t>planuojamai ūkinei veiklai tarpvalstybinės konsultacijos netaikomos.</w:t>
      </w:r>
    </w:p>
    <w:p w:rsidR="004A5361" w:rsidRPr="005C0978" w:rsidRDefault="004A5361" w:rsidP="004A5361">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color w:val="000000"/>
          <w:sz w:val="24"/>
          <w:szCs w:val="24"/>
          <w:lang w:eastAsia="lt-LT"/>
        </w:rPr>
      </w:pPr>
      <w:r w:rsidRPr="005C0978">
        <w:rPr>
          <w:rFonts w:ascii="Times New Roman" w:eastAsia="Times New Roman" w:hAnsi="Times New Roman" w:cs="Times New Roman"/>
          <w:b/>
          <w:color w:val="000000"/>
          <w:sz w:val="24"/>
          <w:szCs w:val="24"/>
          <w:lang w:eastAsia="lt-LT"/>
        </w:rPr>
        <w:t xml:space="preserve">10. </w:t>
      </w:r>
      <w:r w:rsidRPr="005C0978">
        <w:rPr>
          <w:rFonts w:ascii="Times New Roman" w:eastAsia="Times New Roman" w:hAnsi="Times New Roman" w:cs="Times New Roman"/>
          <w:b/>
          <w:bCs/>
          <w:color w:val="000000"/>
          <w:sz w:val="24"/>
          <w:szCs w:val="24"/>
          <w:lang w:eastAsia="lt-LT"/>
        </w:rPr>
        <w:t>Atsakingos institucijos sprendimo pobūdis (planuojama ūkinė veikla leistina/neleistina), jo priėmimo data ir su juo siejamos sąlygos, pagrindiniai motyvai, kuriais buvo remtasi priimant sprendimą</w:t>
      </w:r>
    </w:p>
    <w:p w:rsidR="004A5361" w:rsidRPr="005C0978" w:rsidRDefault="004A5361" w:rsidP="004A5361">
      <w:pPr>
        <w:autoSpaceDE w:val="0"/>
        <w:autoSpaceDN w:val="0"/>
        <w:adjustRightInd w:val="0"/>
        <w:spacing w:after="0" w:line="240" w:lineRule="auto"/>
        <w:ind w:firstLine="567"/>
        <w:jc w:val="both"/>
        <w:rPr>
          <w:rFonts w:ascii="Times New Roman" w:eastAsia="Calibri" w:hAnsi="Times New Roman" w:cs="Times New Roman"/>
          <w:b/>
          <w:bCs/>
          <w:sz w:val="24"/>
          <w:szCs w:val="24"/>
          <w:lang w:eastAsia="lt-LT"/>
        </w:rPr>
      </w:pPr>
    </w:p>
    <w:p w:rsidR="002C6218" w:rsidRPr="005C0978" w:rsidRDefault="002C6218" w:rsidP="004A5361">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color w:val="000000"/>
          <w:sz w:val="24"/>
          <w:szCs w:val="24"/>
          <w:lang w:eastAsia="lt-LT"/>
        </w:rPr>
      </w:pPr>
      <w:r w:rsidRPr="005C0978">
        <w:rPr>
          <w:rFonts w:ascii="Times New Roman" w:eastAsia="Times New Roman" w:hAnsi="Times New Roman" w:cs="Times New Roman"/>
          <w:color w:val="000000"/>
          <w:sz w:val="24"/>
          <w:szCs w:val="24"/>
          <w:lang w:eastAsia="lt-LT"/>
        </w:rPr>
        <w:lastRenderedPageBreak/>
        <w:t xml:space="preserve">Atsižvelgiant į išdėstytus motyvus ir vadovaujantis Lietuvos Respublikos planuojamos ūkinės veiklos poveikio aplinkai vertinimo įstatymo 10 straipsnio 1 dalies 2 punktu, priimamas sprendimas: planuojama ūkinė veikla – Alytaus rajono savivaldybės </w:t>
      </w:r>
      <w:proofErr w:type="spellStart"/>
      <w:r w:rsidRPr="005C0978">
        <w:rPr>
          <w:rFonts w:ascii="Times New Roman" w:eastAsia="Times New Roman" w:hAnsi="Times New Roman" w:cs="Times New Roman"/>
          <w:color w:val="000000"/>
          <w:sz w:val="24"/>
          <w:szCs w:val="24"/>
          <w:lang w:eastAsia="lt-LT"/>
        </w:rPr>
        <w:t>Bogušiškių</w:t>
      </w:r>
      <w:proofErr w:type="spellEnd"/>
      <w:r w:rsidRPr="005C0978">
        <w:rPr>
          <w:rFonts w:ascii="Times New Roman" w:eastAsia="Times New Roman" w:hAnsi="Times New Roman" w:cs="Times New Roman"/>
          <w:color w:val="000000"/>
          <w:sz w:val="24"/>
          <w:szCs w:val="24"/>
          <w:lang w:eastAsia="lt-LT"/>
        </w:rPr>
        <w:t xml:space="preserve"> II žvyro ir smėlio telkinio naujų plotų naudojimas – leistina pagal parengtą PAV ataskaitą.</w:t>
      </w:r>
    </w:p>
    <w:p w:rsidR="004A5361" w:rsidRPr="005C0978" w:rsidRDefault="004A5361" w:rsidP="004A536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4A5361" w:rsidRPr="005C0978" w:rsidRDefault="004A5361" w:rsidP="004A5361">
      <w:pPr>
        <w:autoSpaceDE w:val="0"/>
        <w:autoSpaceDN w:val="0"/>
        <w:adjustRightInd w:val="0"/>
        <w:spacing w:after="0" w:line="240" w:lineRule="auto"/>
        <w:ind w:firstLine="567"/>
        <w:jc w:val="both"/>
        <w:rPr>
          <w:rFonts w:ascii="Times New Roman" w:eastAsia="Calibri" w:hAnsi="Times New Roman" w:cs="Times New Roman"/>
          <w:b/>
          <w:bCs/>
          <w:sz w:val="24"/>
          <w:szCs w:val="24"/>
          <w:lang w:eastAsia="lt-LT"/>
        </w:rPr>
      </w:pPr>
      <w:r w:rsidRPr="005C0978">
        <w:rPr>
          <w:rFonts w:ascii="Times New Roman" w:eastAsia="Calibri" w:hAnsi="Times New Roman" w:cs="Times New Roman"/>
          <w:sz w:val="24"/>
          <w:szCs w:val="24"/>
        </w:rPr>
        <w:t>Sprendimas priimtas Aplinkos apsaugos agentūros 2017-0</w:t>
      </w:r>
      <w:r w:rsidR="002C6218" w:rsidRPr="005C0978">
        <w:rPr>
          <w:rFonts w:ascii="Times New Roman" w:eastAsia="Calibri" w:hAnsi="Times New Roman" w:cs="Times New Roman"/>
          <w:sz w:val="24"/>
          <w:szCs w:val="24"/>
        </w:rPr>
        <w:t>7</w:t>
      </w:r>
      <w:r w:rsidRPr="005C0978">
        <w:rPr>
          <w:rFonts w:ascii="Times New Roman" w:eastAsia="Calibri" w:hAnsi="Times New Roman" w:cs="Times New Roman"/>
          <w:sz w:val="24"/>
          <w:szCs w:val="24"/>
        </w:rPr>
        <w:t>-</w:t>
      </w:r>
      <w:r w:rsidR="002C6218" w:rsidRPr="005C0978">
        <w:rPr>
          <w:rFonts w:ascii="Times New Roman" w:eastAsia="Calibri" w:hAnsi="Times New Roman" w:cs="Times New Roman"/>
          <w:sz w:val="24"/>
          <w:szCs w:val="24"/>
        </w:rPr>
        <w:t>10</w:t>
      </w:r>
      <w:r w:rsidRPr="005C0978">
        <w:rPr>
          <w:rFonts w:ascii="Times New Roman" w:eastAsia="Calibri" w:hAnsi="Times New Roman" w:cs="Times New Roman"/>
          <w:sz w:val="24"/>
          <w:szCs w:val="24"/>
        </w:rPr>
        <w:t xml:space="preserve"> raštu Nr. (28.1)-A4-</w:t>
      </w:r>
      <w:r w:rsidR="002C6218" w:rsidRPr="005C0978">
        <w:rPr>
          <w:rFonts w:ascii="Times New Roman" w:eastAsia="Calibri" w:hAnsi="Times New Roman" w:cs="Times New Roman"/>
          <w:sz w:val="24"/>
          <w:szCs w:val="24"/>
        </w:rPr>
        <w:t>7144</w:t>
      </w:r>
      <w:r w:rsidRPr="005C0978">
        <w:rPr>
          <w:rFonts w:ascii="Times New Roman" w:eastAsia="Calibri" w:hAnsi="Times New Roman" w:cs="Times New Roman"/>
          <w:sz w:val="24"/>
          <w:szCs w:val="24"/>
        </w:rPr>
        <w:t>.</w:t>
      </w:r>
    </w:p>
    <w:p w:rsidR="004A5361" w:rsidRPr="005C0978" w:rsidRDefault="004A5361" w:rsidP="004A5361">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p>
    <w:p w:rsidR="004A5361" w:rsidRPr="005C0978" w:rsidRDefault="004A5361" w:rsidP="004A5361">
      <w:pPr>
        <w:spacing w:after="200" w:line="276" w:lineRule="auto"/>
        <w:rPr>
          <w:rFonts w:ascii="Times New Roman" w:eastAsia="Calibri" w:hAnsi="Times New Roman" w:cs="Times New Roman"/>
          <w:b/>
          <w:sz w:val="24"/>
          <w:szCs w:val="24"/>
        </w:rPr>
      </w:pPr>
      <w:r w:rsidRPr="005C0978">
        <w:rPr>
          <w:rFonts w:ascii="Times New Roman" w:eastAsia="Calibri" w:hAnsi="Times New Roman" w:cs="Times New Roman"/>
          <w:b/>
          <w:sz w:val="24"/>
          <w:szCs w:val="24"/>
        </w:rPr>
        <w:t>Su sprendimu siejamos sąlygos:</w:t>
      </w:r>
    </w:p>
    <w:p w:rsidR="009B7927" w:rsidRPr="005C0978" w:rsidRDefault="009B7927" w:rsidP="009B79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5C0978">
        <w:rPr>
          <w:rFonts w:ascii="Times New Roman" w:eastAsia="Times New Roman" w:hAnsi="Times New Roman" w:cs="Times New Roman"/>
          <w:sz w:val="24"/>
          <w:szCs w:val="24"/>
          <w:lang w:eastAsia="lt-LT"/>
        </w:rPr>
        <w:t>1. PŪV užsakovas ar PAV dokumentų rengėjas, gavęs atsakingos institucijos sprendimą dėl PŪV leistinumo pasirinktoje vietoje, per 10 darbo dienų turi apie tai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(toliau – Visuomenės informavimo tvarkos aprašas), nustatyta tvarka ir raštu informuoti Aplinkos apsaugos agentūrą apie atliktą visuomenės supažindinimą.</w:t>
      </w:r>
    </w:p>
    <w:p w:rsidR="009B7927" w:rsidRPr="009B7927" w:rsidRDefault="009B7927" w:rsidP="009B79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5C0978">
        <w:rPr>
          <w:rFonts w:ascii="Times New Roman" w:eastAsia="Times New Roman" w:hAnsi="Times New Roman" w:cs="Times New Roman"/>
          <w:sz w:val="24"/>
          <w:szCs w:val="24"/>
          <w:lang w:eastAsia="lt-LT"/>
        </w:rPr>
        <w:t xml:space="preserve">2. </w:t>
      </w:r>
      <w:r w:rsidRPr="009B7927">
        <w:rPr>
          <w:rFonts w:ascii="Times New Roman" w:eastAsia="Times New Roman" w:hAnsi="Times New Roman" w:cs="Times New Roman"/>
          <w:sz w:val="24"/>
          <w:szCs w:val="24"/>
          <w:lang w:eastAsia="lt-LT"/>
        </w:rPr>
        <w:t>PŪV užsakovas privalo savo lėšomis įgyvendinti PAV ataskaitoje ir šio sprendimo 6 punkte numatytas priemones neigiamam poveikiui aplinkai išvengti, sumažinti, kompensuoti ar jo pasekmėms likviduoti.</w:t>
      </w:r>
    </w:p>
    <w:p w:rsidR="009B7927" w:rsidRPr="009B7927" w:rsidRDefault="009B7927" w:rsidP="009B79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9B7927">
        <w:rPr>
          <w:rFonts w:ascii="Times New Roman" w:eastAsia="Times New Roman" w:hAnsi="Times New Roman" w:cs="Times New Roman"/>
          <w:sz w:val="24"/>
          <w:szCs w:val="24"/>
          <w:lang w:eastAsia="lt-LT"/>
        </w:rPr>
        <w:t>3. Sausros metu pagal poreikį laistyti karjero kelius ir kelią, kuriuo bus transportuojama karjero produkcija.</w:t>
      </w:r>
    </w:p>
    <w:p w:rsidR="009B7927" w:rsidRPr="009B7927" w:rsidRDefault="009B7927" w:rsidP="009B79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9B7927">
        <w:rPr>
          <w:rFonts w:ascii="Times New Roman" w:eastAsia="Times New Roman" w:hAnsi="Times New Roman" w:cs="Times New Roman"/>
          <w:sz w:val="24"/>
          <w:szCs w:val="24"/>
          <w:lang w:eastAsia="lt-LT"/>
        </w:rPr>
        <w:t>4. PŪV užsakovas privalo užtikrinti, kad PŪV bus vykdoma žemės sklype, kurio naudojimo būdas atitiks teritorijų planavimą reglamentuojančių teisės aktų reikalavimus.</w:t>
      </w:r>
    </w:p>
    <w:p w:rsidR="00D31B2A" w:rsidRPr="005C0978" w:rsidRDefault="009B7927" w:rsidP="00D31B2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9B7927">
        <w:rPr>
          <w:rFonts w:ascii="Times New Roman" w:eastAsia="Times New Roman" w:hAnsi="Times New Roman" w:cs="Times New Roman"/>
          <w:color w:val="000000"/>
          <w:sz w:val="24"/>
          <w:szCs w:val="24"/>
          <w:lang w:eastAsia="lt-LT"/>
        </w:rPr>
        <w:t>5. Vykdomos veiklos metu paaiškėjus, kad daromas didesnis poveikis aplinkai už PAV ataskaitoje pateiktus arba teisės aktuose nustatytus rodiklius, veiklos vykdytojas privalės nedelsiant taikyti papildomas poveikį aplinkai mažinančias priemones arba mažinti veiklos apimtis/nutraukti veiklą.</w:t>
      </w:r>
    </w:p>
    <w:p w:rsidR="004A5361" w:rsidRPr="005C0978" w:rsidRDefault="004A5361" w:rsidP="004A5361">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sz w:val="24"/>
          <w:szCs w:val="24"/>
          <w:lang w:eastAsia="lt-LT"/>
        </w:rPr>
      </w:pPr>
    </w:p>
    <w:p w:rsidR="004A5361" w:rsidRPr="005C0978" w:rsidRDefault="004A5361" w:rsidP="004A5361">
      <w:pPr>
        <w:spacing w:after="200" w:line="276" w:lineRule="auto"/>
        <w:rPr>
          <w:rFonts w:ascii="Times New Roman" w:eastAsia="Calibri" w:hAnsi="Times New Roman" w:cs="Times New Roman"/>
          <w:b/>
          <w:sz w:val="24"/>
          <w:szCs w:val="24"/>
        </w:rPr>
      </w:pPr>
      <w:r w:rsidRPr="005C0978">
        <w:rPr>
          <w:rFonts w:ascii="Times New Roman" w:eastAsia="Calibri" w:hAnsi="Times New Roman" w:cs="Times New Roman"/>
          <w:b/>
          <w:sz w:val="24"/>
          <w:szCs w:val="24"/>
        </w:rPr>
        <w:t>Pagrindiniai motyvai, kuriais buvo remtasi priimant sprendimą:</w:t>
      </w:r>
    </w:p>
    <w:p w:rsidR="00330CB2" w:rsidRPr="00330CB2" w:rsidRDefault="00330CB2" w:rsidP="00330CB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330CB2">
        <w:rPr>
          <w:rFonts w:ascii="Times New Roman" w:eastAsia="Times New Roman" w:hAnsi="Times New Roman" w:cs="Times New Roman"/>
          <w:color w:val="000000"/>
          <w:sz w:val="24"/>
          <w:szCs w:val="24"/>
          <w:lang w:eastAsia="lt-LT"/>
        </w:rPr>
        <w:t>1. PAV ataskaitą nagrinėję ir išvadas pateikę PŪV poveikio aplinkai vertinimo subjektai, vadovaudamiesi PAV įstatymo 9 straipsnio 4 dalimi, pritarė PAV ataskaitai ir PŪV galimybėms.</w:t>
      </w:r>
    </w:p>
    <w:p w:rsidR="00330CB2" w:rsidRPr="00330CB2" w:rsidRDefault="00330CB2" w:rsidP="00330CB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330CB2">
        <w:rPr>
          <w:rFonts w:ascii="Times New Roman" w:eastAsia="Times New Roman" w:hAnsi="Times New Roman" w:cs="Times New Roman"/>
          <w:color w:val="000000"/>
          <w:sz w:val="24"/>
          <w:szCs w:val="24"/>
          <w:lang w:eastAsia="lt-LT"/>
        </w:rPr>
        <w:t>2. PAV ataskaitos rengėjas pagal Visuomenės informavimo tvarkos aprašo reikalavimus tinkamai informavo visuomenę apie PŪV. Visuomenės pastabų ir pasiūlymų dėl PAV ataskaitos ir PŪV galimybių nepateikta.</w:t>
      </w:r>
    </w:p>
    <w:p w:rsidR="00330CB2" w:rsidRPr="00330CB2" w:rsidRDefault="00330CB2" w:rsidP="00330CB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330CB2">
        <w:rPr>
          <w:rFonts w:ascii="Times New Roman" w:eastAsia="Times New Roman" w:hAnsi="Times New Roman" w:cs="Times New Roman"/>
          <w:color w:val="000000"/>
          <w:sz w:val="24"/>
          <w:szCs w:val="24"/>
          <w:lang w:eastAsia="lt-LT"/>
        </w:rPr>
        <w:t>3. Pagal PAV ataskaitoje pateiktą informaciją, naudojant poveikį aplinkai mažinančias priemones ir vykdant sprendimo 10 punkte nustatytas sąlygas, PŪV įgyvendinimas nesukels reikšmingo neigiamo poveikio dirvožemiui, žemės paviršiui ir jos gelmėms, aplinkos orui, vandeniui, kraštovaizdžiui, biologinei įvairovei, kultūros paveldo objektams, socialinei aplinkai bei šių aplinkos komponentų tarpusavio sąveikai.</w:t>
      </w:r>
    </w:p>
    <w:p w:rsidR="00330CB2" w:rsidRPr="00330CB2" w:rsidRDefault="00330CB2" w:rsidP="00330CB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330CB2">
        <w:rPr>
          <w:rFonts w:ascii="Times New Roman" w:eastAsia="Times New Roman" w:hAnsi="Times New Roman" w:cs="Times New Roman"/>
          <w:color w:val="000000"/>
          <w:sz w:val="24"/>
          <w:szCs w:val="24"/>
          <w:lang w:eastAsia="lt-LT"/>
        </w:rPr>
        <w:t xml:space="preserve">4. Pagal PAV ataskaitoje pateiktus aplinkos oro teršalų sklaidos modeliavimo rezultatus numatoma, kad aplinkos oro teršalų koncentracijos neviršys ribinių aplinkos oro užterštumo verčių, nustatytų žmonių sveikatai ir (ar) aplinkai, remiantis Aplinkos oro užterštumo sieros dioksidu, azoto dioksidu, azoto oksidais, </w:t>
      </w:r>
      <w:proofErr w:type="spellStart"/>
      <w:r w:rsidRPr="00330CB2">
        <w:rPr>
          <w:rFonts w:ascii="Times New Roman" w:eastAsia="Times New Roman" w:hAnsi="Times New Roman" w:cs="Times New Roman"/>
          <w:color w:val="000000"/>
          <w:sz w:val="24"/>
          <w:szCs w:val="24"/>
          <w:lang w:eastAsia="lt-LT"/>
        </w:rPr>
        <w:t>benzenu</w:t>
      </w:r>
      <w:proofErr w:type="spellEnd"/>
      <w:r w:rsidRPr="00330CB2">
        <w:rPr>
          <w:rFonts w:ascii="Times New Roman" w:eastAsia="Times New Roman" w:hAnsi="Times New Roman" w:cs="Times New Roman"/>
          <w:color w:val="000000"/>
          <w:sz w:val="24"/>
          <w:szCs w:val="24"/>
          <w:lang w:eastAsia="lt-LT"/>
        </w:rPr>
        <w:t xml:space="preserve">, anglies </w:t>
      </w:r>
      <w:proofErr w:type="spellStart"/>
      <w:r w:rsidRPr="00330CB2">
        <w:rPr>
          <w:rFonts w:ascii="Times New Roman" w:eastAsia="Times New Roman" w:hAnsi="Times New Roman" w:cs="Times New Roman"/>
          <w:color w:val="000000"/>
          <w:sz w:val="24"/>
          <w:szCs w:val="24"/>
          <w:lang w:eastAsia="lt-LT"/>
        </w:rPr>
        <w:t>monoksidu</w:t>
      </w:r>
      <w:proofErr w:type="spellEnd"/>
      <w:r w:rsidRPr="00330CB2">
        <w:rPr>
          <w:rFonts w:ascii="Times New Roman" w:eastAsia="Times New Roman" w:hAnsi="Times New Roman" w:cs="Times New Roman"/>
          <w:color w:val="000000"/>
          <w:sz w:val="24"/>
          <w:szCs w:val="24"/>
          <w:lang w:eastAsia="lt-LT"/>
        </w:rPr>
        <w:t xml:space="preserve">, švinu, kietosiomis dalelėmis ir ozonu normomis, patvirtintomis Lietuvos Respublikos aplinkos ministro ir Lietuvos Respublikos sveikatos apsaugos ministro 2001 m. gruodžio 11 d. įsakymu Nr. 591/640 „Dėl aplinkos oro užterštumo normų nustatymo“ (Lietuvos Respublikos aplinkos ministro ir Lietuvos Respublikos sveikatos apsaugos ministro 2010 m. liepos 7 d. įsakymo Nr. D1-585/V-611 redakcija) ir Teršalų, kurių kiekis aplinkos ore ribojamas pagal nacionalinius kriterijus, sąrašu ir ribinėmis aplinkos oro užterštumo vertėmis, </w:t>
      </w:r>
      <w:r w:rsidRPr="00330CB2">
        <w:rPr>
          <w:rFonts w:ascii="Times New Roman" w:eastAsia="Times New Roman" w:hAnsi="Times New Roman" w:cs="Times New Roman"/>
          <w:color w:val="000000"/>
          <w:sz w:val="24"/>
          <w:szCs w:val="24"/>
          <w:lang w:eastAsia="lt-LT"/>
        </w:rPr>
        <w:lastRenderedPageBreak/>
        <w:t>patvirtintomis Lietuvos Respublikos aplinkos ministro ir Lietuvos Respublikos sveikatos apsaugos ministro 2000 m. spalio 30 d. įsakymu Nr. 471/582 „Dėl teršalų, kurių kiekis aplinkos ore vertinamas pagal Europos sąjungos kriterijus, sąrašo patvirtinimo ir ribinių aplinkos oro užterštumo verčių nustatymo“ (Lietuvos Respublikos aplinkos ministro ir Lietuvos Respublikos sveikatos apsaugos ministro 2007 m. birželio 11 d. įsakymo Nr. D1-329/V-469 redakcija).</w:t>
      </w:r>
    </w:p>
    <w:p w:rsidR="00330CB2" w:rsidRPr="00330CB2" w:rsidRDefault="00330CB2" w:rsidP="00330CB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330CB2">
        <w:rPr>
          <w:rFonts w:ascii="Times New Roman" w:eastAsia="Times New Roman" w:hAnsi="Times New Roman" w:cs="Times New Roman"/>
          <w:color w:val="000000"/>
          <w:sz w:val="24"/>
          <w:szCs w:val="24"/>
          <w:lang w:eastAsia="lt-LT"/>
        </w:rPr>
        <w:t>5. Pagal PAV ataskaitoje pateiktą informaciją, PŪV metu susidarančių atliekų tvarkymas atitinka Lietuvos Respublikos atliekų tvarkymo įstatymo ir kitų atliekų tvarkymą reglamentuojančių teisės aktų reikalavimus.</w:t>
      </w:r>
    </w:p>
    <w:p w:rsidR="00330CB2" w:rsidRPr="00330CB2" w:rsidRDefault="00330CB2" w:rsidP="00330CB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330CB2">
        <w:rPr>
          <w:rFonts w:ascii="Times New Roman" w:eastAsia="Times New Roman" w:hAnsi="Times New Roman" w:cs="Times New Roman"/>
          <w:color w:val="000000"/>
          <w:sz w:val="24"/>
          <w:szCs w:val="24"/>
          <w:lang w:eastAsia="lt-LT"/>
        </w:rPr>
        <w:t>6. Pagal PAV ataskaitoje pateiktą informaciją, PŪV metu triukšmo lygis ties artimiausia gyvenamąja aplinka neviršys didžiausių leidžiamų triukšmo ribinių verčių nustatytų gyvenamųjų pastatų ir visuomeninės paskirties pastatų aplinkoje, remiantis Lietuvos higienos norma HN 33:2011 „Triukšmo ribiniai dydžiai gyvenamuosiuose ir visuomeninės paskirties pastatuose bei jų aplinkoje“.</w:t>
      </w:r>
    </w:p>
    <w:p w:rsidR="00330CB2" w:rsidRPr="00330CB2" w:rsidRDefault="00330CB2" w:rsidP="00330CB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330CB2">
        <w:rPr>
          <w:rFonts w:ascii="Times New Roman" w:eastAsia="Times New Roman" w:hAnsi="Times New Roman" w:cs="Times New Roman"/>
          <w:color w:val="000000"/>
          <w:sz w:val="24"/>
          <w:szCs w:val="24"/>
          <w:lang w:eastAsia="lt-LT"/>
        </w:rPr>
        <w:t xml:space="preserve">7. Lietuvos geologijos tarnyba prie Aplinkos ministerijos PŪV užsakovui 2006-09-20 išdavė leidimą Nr. 33p-06 dėl Alytaus rajono savivaldybės </w:t>
      </w:r>
      <w:proofErr w:type="spellStart"/>
      <w:r w:rsidRPr="00330CB2">
        <w:rPr>
          <w:rFonts w:ascii="Times New Roman" w:eastAsia="Times New Roman" w:hAnsi="Times New Roman" w:cs="Times New Roman"/>
          <w:color w:val="000000"/>
          <w:sz w:val="24"/>
          <w:szCs w:val="24"/>
          <w:lang w:eastAsia="lt-LT"/>
        </w:rPr>
        <w:t>Bogušiškių</w:t>
      </w:r>
      <w:proofErr w:type="spellEnd"/>
      <w:r w:rsidRPr="00330CB2">
        <w:rPr>
          <w:rFonts w:ascii="Times New Roman" w:eastAsia="Times New Roman" w:hAnsi="Times New Roman" w:cs="Times New Roman"/>
          <w:color w:val="000000"/>
          <w:sz w:val="24"/>
          <w:szCs w:val="24"/>
          <w:lang w:eastAsia="lt-LT"/>
        </w:rPr>
        <w:t xml:space="preserve"> II žvyro ir smėlio telkinio išteklių naudojimo. PAV ataskaitoje numatomi naudoti telkinio nauji plotai betarpiškai yra prisišlieję prie šiuo metu PŪV užsakovo naudojamų to paties telkinio plotų, kurių naudojimui išduotas leidimas. Atsižvelgiant į tai, kad numatoma baigti eksploatuoti pradėtą naudoti telkinį, dėl kurio yra išduotas leidimas naudoti naudingąsias iškasenas, PAV ataskaitoje numatytas miško žemės pavertimas kitomis naudmenomis neprieštarauja Lietuvos Respublikos miškų įstatymo 11 straipsnio nuostatoms.</w:t>
      </w:r>
    </w:p>
    <w:p w:rsidR="004A5361" w:rsidRPr="005C0978" w:rsidRDefault="004A5361" w:rsidP="004A5361">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bookmarkStart w:id="0" w:name="_GoBack"/>
      <w:bookmarkEnd w:id="0"/>
    </w:p>
    <w:p w:rsidR="004A5361" w:rsidRPr="005C0978" w:rsidRDefault="004A5361" w:rsidP="004A5361">
      <w:pPr>
        <w:autoSpaceDE w:val="0"/>
        <w:autoSpaceDN w:val="0"/>
        <w:adjustRightInd w:val="0"/>
        <w:spacing w:after="0" w:line="240" w:lineRule="auto"/>
        <w:jc w:val="both"/>
        <w:rPr>
          <w:rFonts w:ascii="Times New Roman" w:eastAsia="Calibri" w:hAnsi="Times New Roman" w:cs="Times New Roman"/>
          <w:b/>
          <w:bCs/>
          <w:sz w:val="24"/>
          <w:szCs w:val="24"/>
          <w:lang w:eastAsia="lt-LT"/>
        </w:rPr>
      </w:pPr>
      <w:r w:rsidRPr="005C0978">
        <w:rPr>
          <w:rFonts w:ascii="Times New Roman" w:eastAsia="Calibri" w:hAnsi="Times New Roman" w:cs="Times New Roman"/>
          <w:b/>
          <w:bCs/>
          <w:sz w:val="24"/>
          <w:szCs w:val="24"/>
          <w:lang w:eastAsia="lt-LT"/>
        </w:rPr>
        <w:t xml:space="preserve">          11. Kur ir kada galima susipažinti su išsamesne informacija apie priimtą sprendimą dėl planuojamos ūkinės veiklos leistinumo pasirinktoje vietoje</w:t>
      </w:r>
    </w:p>
    <w:p w:rsidR="004A5361" w:rsidRPr="005C0978" w:rsidRDefault="004A5361" w:rsidP="004A5361">
      <w:pPr>
        <w:autoSpaceDE w:val="0"/>
        <w:autoSpaceDN w:val="0"/>
        <w:adjustRightInd w:val="0"/>
        <w:spacing w:after="0" w:line="240" w:lineRule="auto"/>
        <w:jc w:val="both"/>
        <w:rPr>
          <w:rFonts w:ascii="Times New Roman" w:eastAsia="Calibri" w:hAnsi="Times New Roman" w:cs="Times New Roman"/>
          <w:b/>
          <w:bCs/>
          <w:sz w:val="24"/>
          <w:szCs w:val="24"/>
          <w:lang w:eastAsia="lt-LT"/>
        </w:rPr>
      </w:pPr>
    </w:p>
    <w:p w:rsidR="00ED1381" w:rsidRPr="005C0978" w:rsidRDefault="004A5361" w:rsidP="004A5361">
      <w:r w:rsidRPr="005C0978">
        <w:rPr>
          <w:rFonts w:ascii="Times New Roman" w:eastAsia="Calibri" w:hAnsi="Times New Roman" w:cs="Times New Roman"/>
          <w:sz w:val="24"/>
          <w:szCs w:val="24"/>
          <w:lang w:eastAsia="lt-LT"/>
        </w:rPr>
        <w:t xml:space="preserve">          Su išsamesne informacija apie priimt</w:t>
      </w:r>
      <w:r w:rsidRPr="005C0978">
        <w:rPr>
          <w:rFonts w:ascii="Times New Roman" w:eastAsia="TimesNewRoman" w:hAnsi="Times New Roman" w:cs="Times New Roman"/>
          <w:sz w:val="24"/>
          <w:szCs w:val="24"/>
          <w:lang w:eastAsia="lt-LT"/>
        </w:rPr>
        <w:t xml:space="preserve">ą </w:t>
      </w:r>
      <w:r w:rsidRPr="005C0978">
        <w:rPr>
          <w:rFonts w:ascii="Times New Roman" w:eastAsia="Calibri" w:hAnsi="Times New Roman" w:cs="Times New Roman"/>
          <w:sz w:val="24"/>
          <w:szCs w:val="24"/>
          <w:lang w:eastAsia="lt-LT"/>
        </w:rPr>
        <w:t>sprendim</w:t>
      </w:r>
      <w:r w:rsidRPr="005C0978">
        <w:rPr>
          <w:rFonts w:ascii="Times New Roman" w:eastAsia="TimesNewRoman" w:hAnsi="Times New Roman" w:cs="Times New Roman"/>
          <w:sz w:val="24"/>
          <w:szCs w:val="24"/>
          <w:lang w:eastAsia="lt-LT"/>
        </w:rPr>
        <w:t xml:space="preserve">ą </w:t>
      </w:r>
      <w:r w:rsidRPr="005C0978">
        <w:rPr>
          <w:rFonts w:ascii="Times New Roman" w:eastAsia="Calibri" w:hAnsi="Times New Roman" w:cs="Times New Roman"/>
          <w:sz w:val="24"/>
          <w:szCs w:val="24"/>
          <w:lang w:eastAsia="lt-LT"/>
        </w:rPr>
        <w:t>d</w:t>
      </w:r>
      <w:r w:rsidRPr="005C0978">
        <w:rPr>
          <w:rFonts w:ascii="Times New Roman" w:eastAsia="TimesNewRoman" w:hAnsi="Times New Roman" w:cs="Times New Roman"/>
          <w:sz w:val="24"/>
          <w:szCs w:val="24"/>
          <w:lang w:eastAsia="lt-LT"/>
        </w:rPr>
        <w:t>ė</w:t>
      </w:r>
      <w:r w:rsidRPr="005C0978">
        <w:rPr>
          <w:rFonts w:ascii="Times New Roman" w:eastAsia="Calibri" w:hAnsi="Times New Roman" w:cs="Times New Roman"/>
          <w:sz w:val="24"/>
          <w:szCs w:val="24"/>
          <w:lang w:eastAsia="lt-LT"/>
        </w:rPr>
        <w:t xml:space="preserve">l planuojamos </w:t>
      </w:r>
      <w:r w:rsidRPr="005C0978">
        <w:rPr>
          <w:rFonts w:ascii="Times New Roman" w:eastAsia="TimesNewRoman" w:hAnsi="Times New Roman" w:cs="Times New Roman"/>
          <w:sz w:val="24"/>
          <w:szCs w:val="24"/>
          <w:lang w:eastAsia="lt-LT"/>
        </w:rPr>
        <w:t>ū</w:t>
      </w:r>
      <w:r w:rsidRPr="005C0978">
        <w:rPr>
          <w:rFonts w:ascii="Times New Roman" w:eastAsia="Calibri" w:hAnsi="Times New Roman" w:cs="Times New Roman"/>
          <w:sz w:val="24"/>
          <w:szCs w:val="24"/>
          <w:lang w:eastAsia="lt-LT"/>
        </w:rPr>
        <w:t>kin</w:t>
      </w:r>
      <w:r w:rsidRPr="005C0978">
        <w:rPr>
          <w:rFonts w:ascii="Times New Roman" w:eastAsia="TimesNewRoman" w:hAnsi="Times New Roman" w:cs="Times New Roman"/>
          <w:sz w:val="24"/>
          <w:szCs w:val="24"/>
          <w:lang w:eastAsia="lt-LT"/>
        </w:rPr>
        <w:t>ė</w:t>
      </w:r>
      <w:r w:rsidRPr="005C0978">
        <w:rPr>
          <w:rFonts w:ascii="Times New Roman" w:eastAsia="Calibri" w:hAnsi="Times New Roman" w:cs="Times New Roman"/>
          <w:sz w:val="24"/>
          <w:szCs w:val="24"/>
          <w:lang w:eastAsia="lt-LT"/>
        </w:rPr>
        <w:t>s veiklos leistinumo pasirinktoje vietoje galima susipažinti Aplinkos apsaugos agent</w:t>
      </w:r>
      <w:r w:rsidRPr="005C0978">
        <w:rPr>
          <w:rFonts w:ascii="Times New Roman" w:eastAsia="TimesNewRoman" w:hAnsi="Times New Roman" w:cs="Times New Roman"/>
          <w:sz w:val="24"/>
          <w:szCs w:val="24"/>
          <w:lang w:eastAsia="lt-LT"/>
        </w:rPr>
        <w:t>ū</w:t>
      </w:r>
      <w:r w:rsidRPr="005C0978">
        <w:rPr>
          <w:rFonts w:ascii="Times New Roman" w:eastAsia="Calibri" w:hAnsi="Times New Roman" w:cs="Times New Roman"/>
          <w:sz w:val="24"/>
          <w:szCs w:val="24"/>
          <w:lang w:eastAsia="lt-LT"/>
        </w:rPr>
        <w:t>roje, A. Juozapavi</w:t>
      </w:r>
      <w:r w:rsidRPr="005C0978">
        <w:rPr>
          <w:rFonts w:ascii="Times New Roman" w:eastAsia="TimesNewRoman" w:hAnsi="Times New Roman" w:cs="Times New Roman"/>
          <w:sz w:val="24"/>
          <w:szCs w:val="24"/>
          <w:lang w:eastAsia="lt-LT"/>
        </w:rPr>
        <w:t>č</w:t>
      </w:r>
      <w:r w:rsidRPr="005C0978">
        <w:rPr>
          <w:rFonts w:ascii="Times New Roman" w:eastAsia="Calibri" w:hAnsi="Times New Roman" w:cs="Times New Roman"/>
          <w:sz w:val="24"/>
          <w:szCs w:val="24"/>
          <w:lang w:eastAsia="lt-LT"/>
        </w:rPr>
        <w:t xml:space="preserve">iaus g. 9, </w:t>
      </w:r>
      <w:r w:rsidR="00915374" w:rsidRPr="005C0978">
        <w:rPr>
          <w:rFonts w:ascii="Times New Roman" w:eastAsia="Calibri" w:hAnsi="Times New Roman" w:cs="Times New Roman"/>
          <w:sz w:val="24"/>
          <w:szCs w:val="24"/>
          <w:lang w:eastAsia="lt-LT"/>
        </w:rPr>
        <w:t>LT-</w:t>
      </w:r>
      <w:r w:rsidRPr="005C0978">
        <w:rPr>
          <w:rFonts w:ascii="Times New Roman" w:eastAsia="Calibri" w:hAnsi="Times New Roman" w:cs="Times New Roman"/>
          <w:sz w:val="24"/>
          <w:szCs w:val="24"/>
          <w:lang w:eastAsia="lt-LT"/>
        </w:rPr>
        <w:t>09311</w:t>
      </w:r>
      <w:r w:rsidR="00915374" w:rsidRPr="005C0978">
        <w:rPr>
          <w:rFonts w:ascii="Times New Roman" w:eastAsia="Calibri" w:hAnsi="Times New Roman" w:cs="Times New Roman"/>
          <w:sz w:val="24"/>
          <w:szCs w:val="24"/>
          <w:lang w:eastAsia="lt-LT"/>
        </w:rPr>
        <w:t>,</w:t>
      </w:r>
      <w:r w:rsidRPr="005C0978">
        <w:rPr>
          <w:rFonts w:ascii="Times New Roman" w:eastAsia="Calibri" w:hAnsi="Times New Roman" w:cs="Times New Roman"/>
          <w:sz w:val="24"/>
          <w:szCs w:val="24"/>
          <w:lang w:eastAsia="lt-LT"/>
        </w:rPr>
        <w:t xml:space="preserve"> Vilnius, tel.: +370 706 68086, +370</w:t>
      </w:r>
      <w:r w:rsidR="00915374" w:rsidRPr="005C0978">
        <w:rPr>
          <w:rFonts w:ascii="Times New Roman" w:eastAsia="Calibri" w:hAnsi="Times New Roman" w:cs="Times New Roman"/>
          <w:sz w:val="24"/>
          <w:szCs w:val="24"/>
          <w:lang w:eastAsia="lt-LT"/>
        </w:rPr>
        <w:t> </w:t>
      </w:r>
      <w:r w:rsidRPr="005C0978">
        <w:rPr>
          <w:rFonts w:ascii="Times New Roman" w:eastAsia="Calibri" w:hAnsi="Times New Roman" w:cs="Times New Roman"/>
          <w:sz w:val="24"/>
          <w:szCs w:val="24"/>
          <w:lang w:eastAsia="lt-LT"/>
        </w:rPr>
        <w:t>706</w:t>
      </w:r>
      <w:r w:rsidR="00915374" w:rsidRPr="005C0978">
        <w:rPr>
          <w:rFonts w:ascii="Times New Roman" w:eastAsia="Calibri" w:hAnsi="Times New Roman" w:cs="Times New Roman"/>
          <w:sz w:val="24"/>
          <w:szCs w:val="24"/>
          <w:lang w:eastAsia="lt-LT"/>
        </w:rPr>
        <w:t xml:space="preserve"> </w:t>
      </w:r>
      <w:r w:rsidRPr="005C0978">
        <w:rPr>
          <w:rFonts w:ascii="Times New Roman" w:eastAsia="Calibri" w:hAnsi="Times New Roman" w:cs="Times New Roman"/>
          <w:sz w:val="24"/>
          <w:szCs w:val="24"/>
          <w:lang w:eastAsia="lt-LT"/>
        </w:rPr>
        <w:t>62043.</w:t>
      </w:r>
      <w:r w:rsidR="00915374" w:rsidRPr="005C0978">
        <w:rPr>
          <w:rFonts w:ascii="Times New Roman" w:eastAsia="Calibri" w:hAnsi="Times New Roman" w:cs="Times New Roman"/>
          <w:sz w:val="24"/>
          <w:szCs w:val="24"/>
          <w:lang w:eastAsia="lt-LT"/>
        </w:rPr>
        <w:t xml:space="preserve"> </w:t>
      </w:r>
    </w:p>
    <w:sectPr w:rsidR="00ED1381" w:rsidRPr="005C097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63AD4"/>
    <w:multiLevelType w:val="hybridMultilevel"/>
    <w:tmpl w:val="2E20E83E"/>
    <w:lvl w:ilvl="0" w:tplc="04270001">
      <w:start w:val="1"/>
      <w:numFmt w:val="bullet"/>
      <w:lvlText w:val=""/>
      <w:lvlJc w:val="left"/>
      <w:pPr>
        <w:ind w:left="1455" w:hanging="360"/>
      </w:pPr>
      <w:rPr>
        <w:rFonts w:ascii="Symbol" w:hAnsi="Symbol" w:hint="default"/>
      </w:rPr>
    </w:lvl>
    <w:lvl w:ilvl="1" w:tplc="04270003" w:tentative="1">
      <w:start w:val="1"/>
      <w:numFmt w:val="bullet"/>
      <w:lvlText w:val="o"/>
      <w:lvlJc w:val="left"/>
      <w:pPr>
        <w:ind w:left="2175" w:hanging="360"/>
      </w:pPr>
      <w:rPr>
        <w:rFonts w:ascii="Courier New" w:hAnsi="Courier New" w:cs="Courier New" w:hint="default"/>
      </w:rPr>
    </w:lvl>
    <w:lvl w:ilvl="2" w:tplc="04270005" w:tentative="1">
      <w:start w:val="1"/>
      <w:numFmt w:val="bullet"/>
      <w:lvlText w:val=""/>
      <w:lvlJc w:val="left"/>
      <w:pPr>
        <w:ind w:left="2895" w:hanging="360"/>
      </w:pPr>
      <w:rPr>
        <w:rFonts w:ascii="Wingdings" w:hAnsi="Wingdings" w:hint="default"/>
      </w:rPr>
    </w:lvl>
    <w:lvl w:ilvl="3" w:tplc="04270001" w:tentative="1">
      <w:start w:val="1"/>
      <w:numFmt w:val="bullet"/>
      <w:lvlText w:val=""/>
      <w:lvlJc w:val="left"/>
      <w:pPr>
        <w:ind w:left="3615" w:hanging="360"/>
      </w:pPr>
      <w:rPr>
        <w:rFonts w:ascii="Symbol" w:hAnsi="Symbol" w:hint="default"/>
      </w:rPr>
    </w:lvl>
    <w:lvl w:ilvl="4" w:tplc="04270003" w:tentative="1">
      <w:start w:val="1"/>
      <w:numFmt w:val="bullet"/>
      <w:lvlText w:val="o"/>
      <w:lvlJc w:val="left"/>
      <w:pPr>
        <w:ind w:left="4335" w:hanging="360"/>
      </w:pPr>
      <w:rPr>
        <w:rFonts w:ascii="Courier New" w:hAnsi="Courier New" w:cs="Courier New" w:hint="default"/>
      </w:rPr>
    </w:lvl>
    <w:lvl w:ilvl="5" w:tplc="04270005" w:tentative="1">
      <w:start w:val="1"/>
      <w:numFmt w:val="bullet"/>
      <w:lvlText w:val=""/>
      <w:lvlJc w:val="left"/>
      <w:pPr>
        <w:ind w:left="5055" w:hanging="360"/>
      </w:pPr>
      <w:rPr>
        <w:rFonts w:ascii="Wingdings" w:hAnsi="Wingdings" w:hint="default"/>
      </w:rPr>
    </w:lvl>
    <w:lvl w:ilvl="6" w:tplc="04270001" w:tentative="1">
      <w:start w:val="1"/>
      <w:numFmt w:val="bullet"/>
      <w:lvlText w:val=""/>
      <w:lvlJc w:val="left"/>
      <w:pPr>
        <w:ind w:left="5775" w:hanging="360"/>
      </w:pPr>
      <w:rPr>
        <w:rFonts w:ascii="Symbol" w:hAnsi="Symbol" w:hint="default"/>
      </w:rPr>
    </w:lvl>
    <w:lvl w:ilvl="7" w:tplc="04270003" w:tentative="1">
      <w:start w:val="1"/>
      <w:numFmt w:val="bullet"/>
      <w:lvlText w:val="o"/>
      <w:lvlJc w:val="left"/>
      <w:pPr>
        <w:ind w:left="6495" w:hanging="360"/>
      </w:pPr>
      <w:rPr>
        <w:rFonts w:ascii="Courier New" w:hAnsi="Courier New" w:cs="Courier New" w:hint="default"/>
      </w:rPr>
    </w:lvl>
    <w:lvl w:ilvl="8" w:tplc="04270005" w:tentative="1">
      <w:start w:val="1"/>
      <w:numFmt w:val="bullet"/>
      <w:lvlText w:val=""/>
      <w:lvlJc w:val="left"/>
      <w:pPr>
        <w:ind w:left="72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61"/>
    <w:rsid w:val="00011BFF"/>
    <w:rsid w:val="002908AF"/>
    <w:rsid w:val="002B3215"/>
    <w:rsid w:val="002C4CCA"/>
    <w:rsid w:val="002C6218"/>
    <w:rsid w:val="00330CB2"/>
    <w:rsid w:val="004A5361"/>
    <w:rsid w:val="005C0978"/>
    <w:rsid w:val="006549AE"/>
    <w:rsid w:val="006A0555"/>
    <w:rsid w:val="007A1E1F"/>
    <w:rsid w:val="00825167"/>
    <w:rsid w:val="008E128B"/>
    <w:rsid w:val="008E61EF"/>
    <w:rsid w:val="00915374"/>
    <w:rsid w:val="009B7927"/>
    <w:rsid w:val="00D25DBC"/>
    <w:rsid w:val="00D31B2A"/>
    <w:rsid w:val="00D4177B"/>
    <w:rsid w:val="00ED1381"/>
    <w:rsid w:val="00FD6A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B38AE-C650-4252-8741-2F38587B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536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A5361"/>
    <w:pPr>
      <w:autoSpaceDE w:val="0"/>
      <w:autoSpaceDN w:val="0"/>
      <w:adjustRightInd w:val="0"/>
      <w:spacing w:after="0" w:line="240" w:lineRule="auto"/>
    </w:pPr>
    <w:rPr>
      <w:rFonts w:ascii="Arial" w:eastAsia="Times New Roman" w:hAnsi="Arial" w:cs="Arial"/>
      <w:color w:val="000000"/>
      <w:sz w:val="24"/>
      <w:szCs w:val="24"/>
      <w:lang w:eastAsia="lt-LT"/>
    </w:rPr>
  </w:style>
  <w:style w:type="paragraph" w:customStyle="1" w:styleId="Hyperlink1">
    <w:name w:val="Hyperlink1"/>
    <w:basedOn w:val="prastasis"/>
    <w:rsid w:val="004A536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table" w:styleId="Lentelstinklelis">
    <w:name w:val="Table Grid"/>
    <w:basedOn w:val="prastojilentel"/>
    <w:rsid w:val="006549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ta.lt" TargetMode="External"/><Relationship Id="rId3" Type="http://schemas.openxmlformats.org/officeDocument/2006/relationships/settings" Target="settings.xml"/><Relationship Id="rId7" Type="http://schemas.openxmlformats.org/officeDocument/2006/relationships/hyperlink" Target="http://www.alkest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firma.lt" TargetMode="External"/><Relationship Id="rId5" Type="http://schemas.openxmlformats.org/officeDocument/2006/relationships/hyperlink" Target="mailto:info@alkesta.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19261</Words>
  <Characters>10979</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61</cp:revision>
  <dcterms:created xsi:type="dcterms:W3CDTF">2017-07-11T10:06:00Z</dcterms:created>
  <dcterms:modified xsi:type="dcterms:W3CDTF">2017-07-11T11:30:00Z</dcterms:modified>
</cp:coreProperties>
</file>